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rPr>
          <w:b/>
          <w:bCs/>
          <w:color w:val="2A2D32"/>
          <w:sz w:val="40"/>
          <w:szCs w:val="40"/>
        </w:rPr>
        <w:t xml:space="preserve">Will Examples: Three Complete Wills, Explained</w:t>
      </w:r>
    </w:p>
    <w:p>
      <w:pPr>
        <w:spacing w:after="220"/>
      </w:pPr>
      <w:r>
        <w:rPr>
          <w:i/>
          <w:iCs/>
          <w:color w:val="6A6E73"/>
          <w:sz w:val="19"/>
          <w:szCs w:val="19"/>
        </w:rPr>
        <w:t xml:space="preserve">Three finished, annotated wills for England and Wales — not one blank template — each written for a different household, with every clause explained underneath it. Fictional people, real law.</w:t>
      </w:r>
    </w:p>
    <w:p>
      <w:pPr>
        <w:spacing w:after="160"/>
      </w:pPr>
      <w:r>
        <w:rPr>
          <w:b/>
          <w:bCs/>
          <w:color w:val="2A2D32"/>
          <w:sz w:val="21"/>
          <w:szCs w:val="21"/>
        </w:rPr>
        <w:t xml:space="preserve">Three finished wills, not one blank. </w:t>
      </w:r>
      <w:r>
        <w:rPr>
          <w:color w:val="2A2D32"/>
          <w:sz w:val="21"/>
          <w:szCs w:val="21"/>
        </w:rPr>
        <w:t xml:space="preserve">valoren.uk/resources/blank-will-template gives a reader a will to fill in; valoren.uk/resources/mirror-wills-template gives a couple a matched pair. This pack shows what a completed will reads like for three households a first-time reader can recognise themselves in — a single person with no children, a couple with young children, and a widow with adult children, a stepson and an estranged son — with every clause explained underneath it.</w:t>
      </w:r>
    </w:p>
    <w:p>
      <w:pPr>
        <w:spacing w:after="240"/>
      </w:pPr>
      <w:r>
        <w:rPr>
          <w:b/>
          <w:bCs/>
          <w:color w:val="2A2D32"/>
          <w:sz w:val="21"/>
          <w:szCs w:val="21"/>
        </w:rPr>
        <w:t xml:space="preserve">Fictional people, real law. </w:t>
      </w:r>
      <w:r>
        <w:rPr>
          <w:color w:val="2A2D32"/>
          <w:sz w:val="21"/>
          <w:szCs w:val="21"/>
        </w:rPr>
        <w:t xml:space="preserve">Naomi Pemberton, Rachel Hargreave and Susan Marchant do not exist. Every name, address and figure is invented; every statute and case is real.</w:t>
      </w: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Nobody who is given anything under a will may witness it</w:t>
            </w:r>
          </w:p>
          <w:p>
            <w:r>
              <w:rPr>
                <w:i w:val="false"/>
                <w:iCs w:val="false"/>
                <w:color w:val="2A2D32"/>
                <w:sz w:val="20"/>
                <w:szCs w:val="20"/>
              </w:rPr>
              <w:t xml:space="preserve">Nobody who is given anything under a will may witness it — nor may their husband, wife or civil partner (Wills Act 1837 s.15; civil partners: Civil Partnership Act 2004 Sch. 4 para. 3). The will stays valid; that gift is void. Every specimen's attestation page carries this rule in red, with the names it rules out for that household.</w:t>
            </w:r>
          </w:p>
        </w:tc>
      </w:tr>
    </w:tbl>
    <w:p>
      <w:pPr>
        <w:spacing w:after="200"/>
      </w:pPr>
    </w:p>
    <w:p>
      <w:pPr>
        <w:pStyle w:val="Heading3"/>
        <w:spacing w:after="140" w:before="60"/>
      </w:pPr>
      <w:r>
        <w:rPr>
          <w:b/>
          <w:bCs/>
          <w:color w:val="2A2D32"/>
          <w:sz w:val="22"/>
          <w:szCs w:val="22"/>
        </w:rPr>
        <w:t xml:space="preserve">How to use this pack</w:t>
      </w:r>
    </w:p>
    <w:p>
      <w:pPr>
        <w:spacing w:after="160"/>
        <w:ind w:left="260" w:hanging="260"/>
      </w:pPr>
      <w:r>
        <w:rPr>
          <w:b/>
          <w:bCs/>
          <w:color w:val="B0764A"/>
          <w:sz w:val="20"/>
          <w:szCs w:val="20"/>
        </w:rPr>
        <w:t xml:space="preserve">1.  </w:t>
      </w:r>
      <w:r>
        <w:rPr>
          <w:i w:val="false"/>
          <w:iCs w:val="false"/>
          <w:color w:val="2A2D32"/>
          <w:sz w:val="20"/>
          <w:szCs w:val="20"/>
        </w:rPr>
        <w:t xml:space="preserve">Read the one that matches your household, then use the blank template to write your own. Copying a specimen word for word, with your own names in the blanks, is exactly what the clause wording is written to allow — but only where your facts match. Every specimen ends with a list of what it does not cover.</w:t>
      </w:r>
    </w:p>
    <w:p>
      <w:pPr>
        <w:spacing w:after="160"/>
        <w:ind w:left="260" w:hanging="260"/>
      </w:pPr>
      <w:r>
        <w:rPr>
          <w:b/>
          <w:bCs/>
          <w:color w:val="B0764A"/>
          <w:sz w:val="20"/>
          <w:szCs w:val="20"/>
        </w:rPr>
        <w:t xml:space="preserve">2.  </w:t>
      </w:r>
      <w:r>
        <w:rPr>
          <w:i w:val="false"/>
          <w:iCs w:val="false"/>
          <w:color w:val="2A2D32"/>
          <w:sz w:val="20"/>
          <w:szCs w:val="20"/>
        </w:rPr>
        <w:t xml:space="preserve">One will of a mirror pair, not both. Household B shows Rachel's will only. Thomas's mirror will exists, identical in structure with the names and roles reversed; the complete matched pair, and the rules that are special to a couple, live on valoren.uk/resources/mirror-wills-template.</w:t>
      </w:r>
    </w:p>
    <w:p>
      <w:pPr>
        <w:spacing w:after="160"/>
        <w:ind w:left="260" w:hanging="260"/>
      </w:pPr>
      <w:r>
        <w:rPr>
          <w:b/>
          <w:bCs/>
          <w:color w:val="B0764A"/>
          <w:sz w:val="20"/>
          <w:szCs w:val="20"/>
        </w:rPr>
        <w:t xml:space="preserve">3.  </w:t>
      </w:r>
      <w:r>
        <w:rPr>
          <w:i w:val="false"/>
          <w:iCs w:val="false"/>
          <w:color w:val="2A2D32"/>
          <w:sz w:val="20"/>
          <w:szCs w:val="20"/>
        </w:rPr>
        <w:t xml:space="preserve">The same seven clauses, drafted differently each time — and the differences explained, not hidden. A guardianship clause that is included (B) against one that is correctly omitted (A, C); an open class of children (B) against two named adults (C); a sole executor with a substitute (A) against joint executors, twice, for two different reasons (B: a trust for minors; C: a house that will need selling); an equal split (B) against a deliberate 60/40 (C); silence about a relative (A) against a named exclusion (C).</w:t>
      </w:r>
    </w:p>
    <w:p>
      <w:pPr>
        <w:spacing w:after="160"/>
        <w:ind w:left="260" w:hanging="260"/>
      </w:pPr>
      <w:r>
        <w:rPr>
          <w:b/>
          <w:bCs/>
          <w:color w:val="B0764A"/>
          <w:sz w:val="20"/>
          <w:szCs w:val="20"/>
        </w:rPr>
        <w:t xml:space="preserve">4.  </w:t>
      </w:r>
      <w:r>
        <w:rPr>
          <w:i w:val="false"/>
          <w:iCs w:val="false"/>
          <w:color w:val="2A2D32"/>
          <w:sz w:val="20"/>
          <w:szCs w:val="20"/>
        </w:rPr>
        <w:t xml:space="preserve">What a will cannot do, shown where it arises. A joint tenant's share of a home and the money in a joint account pass to the survivor outside the will (B). Funeral wishes are not binding on an executor and often arrive too late inside a will (C). Passwords never go in a will — it becomes a public document at probate (B). A will cannot make anyone look after a pet — it can only give the pet, and money, to a person (A, C).</w:t>
      </w:r>
    </w:p>
    <w:p>
      <w:r>
        <w:br w:type="page"/>
      </w:r>
    </w:p>
    <w:p>
      <w:pPr>
        <w:pStyle w:val="Heading1"/>
        <w:pBdr>
          <w:bottom w:val="single" w:color="B0764A" w:sz="6" w:space="8"/>
        </w:pBdr>
        <w:spacing w:after="200" w:before="200"/>
      </w:pPr>
      <w:r>
        <w:rPr>
          <w:b/>
          <w:bCs/>
          <w:color w:val="2A2D32"/>
          <w:sz w:val="32"/>
          <w:szCs w:val="32"/>
        </w:rPr>
        <w:t xml:space="preserve">II · Three Households, One Structure</w:t>
      </w:r>
    </w:p>
    <w:tbl>
      <w:tblPr>
        <w:tblW w:type="dxa" w:w="9506"/>
        <w:tblBorders>
          <w:top w:val="single" w:color="D9D5D0" w:sz="2"/>
          <w:left w:val="single" w:color="D9D5D0" w:sz="2"/>
          <w:bottom w:val="single" w:color="D9D5D0" w:sz="2"/>
          <w:right w:val="single" w:color="D9D5D0" w:sz="2"/>
          <w:insideH w:val="single" w:color="D9D5D0" w:sz="2"/>
          <w:insideV w:val="single" w:color="D9D5D0" w:sz="2"/>
        </w:tblBorders>
      </w:tblPr>
      <w:tblGrid>
        <w:gridCol w:w="1141"/>
        <w:gridCol w:w="1711"/>
        <w:gridCol w:w="1711"/>
        <w:gridCol w:w="1331"/>
        <w:gridCol w:w="1711"/>
        <w:gridCol w:w="1901"/>
      </w:tblGrid>
      <w:tr>
        <w:trPr>
          <w:tblHeader/>
        </w:trPr>
        <w:tc>
          <w:tcPr>
            <w:tcW w:type="dxa" w:w="1141"/>
            <w:shd w:fill="F5F2EE" w:val="clear"/>
            <w:tcMar>
              <w:top w:type="dxa" w:w="100"/>
              <w:left w:type="dxa" w:w="100"/>
              <w:bottom w:type="dxa" w:w="100"/>
              <w:right w:type="dxa" w:w="100"/>
            </w:tcMar>
          </w:tcPr>
          <w:p>
            <w:r>
              <w:rPr>
                <w:b/>
                <w:bCs/>
                <w:color w:val="2A2D32"/>
                <w:sz w:val="16"/>
                <w:szCs w:val="16"/>
              </w:rPr>
              <w:t xml:space="preserve">Household</w:t>
            </w:r>
          </w:p>
        </w:tc>
        <w:tc>
          <w:tcPr>
            <w:tcW w:type="dxa" w:w="1711"/>
            <w:shd w:fill="F5F2EE" w:val="clear"/>
            <w:tcMar>
              <w:top w:type="dxa" w:w="100"/>
              <w:left w:type="dxa" w:w="100"/>
              <w:bottom w:type="dxa" w:w="100"/>
              <w:right w:type="dxa" w:w="100"/>
            </w:tcMar>
          </w:tcPr>
          <w:p>
            <w:r>
              <w:rPr>
                <w:b/>
                <w:bCs/>
                <w:color w:val="2A2D32"/>
                <w:sz w:val="16"/>
                <w:szCs w:val="16"/>
              </w:rPr>
              <w:t xml:space="preserve">Who they are</w:t>
            </w:r>
          </w:p>
        </w:tc>
        <w:tc>
          <w:tcPr>
            <w:tcW w:type="dxa" w:w="1711"/>
            <w:shd w:fill="F5F2EE" w:val="clear"/>
            <w:tcMar>
              <w:top w:type="dxa" w:w="100"/>
              <w:left w:type="dxa" w:w="100"/>
              <w:bottom w:type="dxa" w:w="100"/>
              <w:right w:type="dxa" w:w="100"/>
            </w:tcMar>
          </w:tcPr>
          <w:p>
            <w:r>
              <w:rPr>
                <w:b/>
                <w:bCs/>
                <w:color w:val="2A2D32"/>
                <w:sz w:val="16"/>
                <w:szCs w:val="16"/>
              </w:rPr>
              <w:t xml:space="preserve">Executor pattern</w:t>
            </w:r>
          </w:p>
        </w:tc>
        <w:tc>
          <w:tcPr>
            <w:tcW w:type="dxa" w:w="1331"/>
            <w:shd w:fill="F5F2EE" w:val="clear"/>
            <w:tcMar>
              <w:top w:type="dxa" w:w="100"/>
              <w:left w:type="dxa" w:w="100"/>
              <w:bottom w:type="dxa" w:w="100"/>
              <w:right w:type="dxa" w:w="100"/>
            </w:tcMar>
          </w:tcPr>
          <w:p>
            <w:r>
              <w:rPr>
                <w:b/>
                <w:bCs/>
                <w:color w:val="2A2D32"/>
                <w:sz w:val="16"/>
                <w:szCs w:val="16"/>
              </w:rPr>
              <w:t xml:space="preserve">Guardians</w:t>
            </w:r>
          </w:p>
        </w:tc>
        <w:tc>
          <w:tcPr>
            <w:tcW w:type="dxa" w:w="1711"/>
            <w:shd w:fill="F5F2EE" w:val="clear"/>
            <w:tcMar>
              <w:top w:type="dxa" w:w="100"/>
              <w:left w:type="dxa" w:w="100"/>
              <w:bottom w:type="dxa" w:w="100"/>
              <w:right w:type="dxa" w:w="100"/>
            </w:tcMar>
          </w:tcPr>
          <w:p>
            <w:r>
              <w:rPr>
                <w:b/>
                <w:bCs/>
                <w:color w:val="2A2D32"/>
                <w:sz w:val="16"/>
                <w:szCs w:val="16"/>
              </w:rPr>
              <w:t xml:space="preserve">Residue shape</w:t>
            </w:r>
          </w:p>
        </w:tc>
        <w:tc>
          <w:tcPr>
            <w:tcW w:type="dxa" w:w="1901"/>
            <w:shd w:fill="F5F2EE" w:val="clear"/>
            <w:tcMar>
              <w:top w:type="dxa" w:w="100"/>
              <w:left w:type="dxa" w:w="100"/>
              <w:bottom w:type="dxa" w:w="100"/>
              <w:right w:type="dxa" w:w="100"/>
            </w:tcMar>
          </w:tcPr>
          <w:p>
            <w:r>
              <w:rPr>
                <w:b/>
                <w:bCs/>
                <w:color w:val="2A2D32"/>
                <w:sz w:val="16"/>
                <w:szCs w:val="16"/>
              </w:rPr>
              <w:t xml:space="preserve">What it teaches</w:t>
            </w:r>
          </w:p>
        </w:tc>
      </w:tr>
      <w:tr>
        <w:tc>
          <w:tcPr>
            <w:tcW w:type="dxa" w:w="1141"/>
            <w:tcMar>
              <w:top w:type="dxa" w:w="110"/>
              <w:left w:type="dxa" w:w="100"/>
              <w:bottom w:type="dxa" w:w="110"/>
              <w:right w:type="dxa" w:w="100"/>
            </w:tcMar>
          </w:tcPr>
          <w:p>
            <w:r>
              <w:rPr>
                <w:i w:val="false"/>
                <w:iCs w:val="false"/>
                <w:color w:val="2A2D32"/>
                <w:sz w:val="16"/>
                <w:szCs w:val="16"/>
              </w:rPr>
              <w:t xml:space="preserve">A — Naomi Pemberton</w:t>
            </w:r>
          </w:p>
        </w:tc>
        <w:tc>
          <w:tcPr>
            <w:tcW w:type="dxa" w:w="1711"/>
            <w:tcMar>
              <w:top w:type="dxa" w:w="110"/>
              <w:left w:type="dxa" w:w="100"/>
              <w:bottom w:type="dxa" w:w="110"/>
              <w:right w:type="dxa" w:w="100"/>
            </w:tcMar>
          </w:tcPr>
          <w:p>
            <w:r>
              <w:rPr>
                <w:i w:val="false"/>
                <w:iCs w:val="false"/>
                <w:color w:val="2A2D32"/>
                <w:sz w:val="16"/>
                <w:szCs w:val="16"/>
              </w:rPr>
              <w:t xml:space="preserve">A single person, no children, no partner</w:t>
            </w:r>
          </w:p>
        </w:tc>
        <w:tc>
          <w:tcPr>
            <w:tcW w:type="dxa" w:w="1711"/>
            <w:tcMar>
              <w:top w:type="dxa" w:w="110"/>
              <w:left w:type="dxa" w:w="100"/>
              <w:bottom w:type="dxa" w:w="110"/>
              <w:right w:type="dxa" w:w="100"/>
            </w:tcMar>
          </w:tcPr>
          <w:p>
            <w:r>
              <w:rPr>
                <w:i w:val="false"/>
                <w:iCs w:val="false"/>
                <w:color w:val="2A2D32"/>
                <w:sz w:val="16"/>
                <w:szCs w:val="16"/>
              </w:rPr>
              <w:t xml:space="preserve">Sole executor (her sister), one substitute (a friend)</w:t>
            </w:r>
          </w:p>
        </w:tc>
        <w:tc>
          <w:tcPr>
            <w:tcW w:type="dxa" w:w="1331"/>
            <w:tcMar>
              <w:top w:type="dxa" w:w="110"/>
              <w:left w:type="dxa" w:w="100"/>
              <w:bottom w:type="dxa" w:w="110"/>
              <w:right w:type="dxa" w:w="100"/>
            </w:tcMar>
          </w:tcPr>
          <w:p>
            <w:r>
              <w:rPr>
                <w:i w:val="false"/>
                <w:iCs w:val="false"/>
                <w:color w:val="B0764A"/>
                <w:sz w:val="16"/>
                <w:szCs w:val="16"/>
              </w:rPr>
              <w:t xml:space="preserve">None — clause correctly omitted</w:t>
            </w:r>
          </w:p>
        </w:tc>
        <w:tc>
          <w:tcPr>
            <w:tcW w:type="dxa" w:w="1711"/>
            <w:tcMar>
              <w:top w:type="dxa" w:w="110"/>
              <w:left w:type="dxa" w:w="100"/>
              <w:bottom w:type="dxa" w:w="110"/>
              <w:right w:type="dxa" w:w="100"/>
            </w:tcMar>
          </w:tcPr>
          <w:p>
            <w:r>
              <w:rPr>
                <w:i w:val="false"/>
                <w:iCs w:val="false"/>
                <w:color w:val="2A2D32"/>
                <w:sz w:val="16"/>
                <w:szCs w:val="16"/>
              </w:rPr>
              <w:t xml:space="preserve">Person → backup person → charity</w:t>
            </w:r>
          </w:p>
        </w:tc>
        <w:tc>
          <w:tcPr>
            <w:tcW w:type="dxa" w:w="1901"/>
            <w:tcMar>
              <w:top w:type="dxa" w:w="110"/>
              <w:left w:type="dxa" w:w="100"/>
              <w:bottom w:type="dxa" w:w="110"/>
              <w:right w:type="dxa" w:w="100"/>
            </w:tcMar>
          </w:tcPr>
          <w:p>
            <w:r>
              <w:rPr>
                <w:i w:val="false"/>
                <w:iCs w:val="false"/>
                <w:color w:val="2A2D32"/>
                <w:sz w:val="16"/>
                <w:szCs w:val="16"/>
              </w:rPr>
              <w:t xml:space="preserve">Why silence about an estranged relative is safe; the pet-and-money pattern; a short substitute chain with no generation to fall back through</w:t>
            </w:r>
          </w:p>
        </w:tc>
      </w:tr>
      <w:tr>
        <w:tc>
          <w:tcPr>
            <w:tcW w:type="dxa" w:w="1141"/>
            <w:tcMar>
              <w:top w:type="dxa" w:w="110"/>
              <w:left w:type="dxa" w:w="100"/>
              <w:bottom w:type="dxa" w:w="110"/>
              <w:right w:type="dxa" w:w="100"/>
            </w:tcMar>
          </w:tcPr>
          <w:p>
            <w:r>
              <w:rPr>
                <w:i w:val="false"/>
                <w:iCs w:val="false"/>
                <w:color w:val="2A2D32"/>
                <w:sz w:val="16"/>
                <w:szCs w:val="16"/>
              </w:rPr>
              <w:t xml:space="preserve">B — Rachel Hargreave</w:t>
            </w:r>
          </w:p>
        </w:tc>
        <w:tc>
          <w:tcPr>
            <w:tcW w:type="dxa" w:w="1711"/>
            <w:tcMar>
              <w:top w:type="dxa" w:w="110"/>
              <w:left w:type="dxa" w:w="100"/>
              <w:bottom w:type="dxa" w:w="110"/>
              <w:right w:type="dxa" w:w="100"/>
            </w:tcMar>
          </w:tcPr>
          <w:p>
            <w:r>
              <w:rPr>
                <w:i w:val="false"/>
                <w:iCs w:val="false"/>
                <w:color w:val="2A2D32"/>
                <w:sz w:val="16"/>
                <w:szCs w:val="16"/>
              </w:rPr>
              <w:t xml:space="preserve">Married, two children under 18 (one will of a mirror pair)</w:t>
            </w:r>
          </w:p>
        </w:tc>
        <w:tc>
          <w:tcPr>
            <w:tcW w:type="dxa" w:w="1711"/>
            <w:tcMar>
              <w:top w:type="dxa" w:w="110"/>
              <w:left w:type="dxa" w:w="100"/>
              <w:bottom w:type="dxa" w:w="110"/>
              <w:right w:type="dxa" w:w="100"/>
            </w:tcMar>
          </w:tcPr>
          <w:p>
            <w:r>
              <w:rPr>
                <w:i w:val="false"/>
                <w:iCs w:val="false"/>
                <w:color w:val="2A2D32"/>
                <w:sz w:val="16"/>
                <w:szCs w:val="16"/>
              </w:rPr>
              <w:t xml:space="preserve">Spouse, then two named substitutes acting jointly</w:t>
            </w:r>
          </w:p>
        </w:tc>
        <w:tc>
          <w:tcPr>
            <w:tcW w:type="dxa" w:w="1331"/>
            <w:tcMar>
              <w:top w:type="dxa" w:w="110"/>
              <w:left w:type="dxa" w:w="100"/>
              <w:bottom w:type="dxa" w:w="110"/>
              <w:right w:type="dxa" w:w="100"/>
            </w:tcMar>
          </w:tcPr>
          <w:p>
            <w:r>
              <w:rPr>
                <w:i w:val="false"/>
                <w:iCs w:val="false"/>
                <w:color w:val="B0764A"/>
                <w:sz w:val="16"/>
                <w:szCs w:val="16"/>
              </w:rPr>
              <w:t xml:space="preserve">Named — sister and her husband</w:t>
            </w:r>
          </w:p>
        </w:tc>
        <w:tc>
          <w:tcPr>
            <w:tcW w:type="dxa" w:w="1711"/>
            <w:tcMar>
              <w:top w:type="dxa" w:w="110"/>
              <w:left w:type="dxa" w:w="100"/>
              <w:bottom w:type="dxa" w:w="110"/>
              <w:right w:type="dxa" w:w="100"/>
            </w:tcMar>
          </w:tcPr>
          <w:p>
            <w:r>
              <w:rPr>
                <w:i w:val="false"/>
                <w:iCs w:val="false"/>
                <w:color w:val="2A2D32"/>
                <w:sz w:val="16"/>
                <w:szCs w:val="16"/>
              </w:rPr>
              <w:t xml:space="preserve">Spouse → open class of children, equally → grandchildren → final substitute</w:t>
            </w:r>
          </w:p>
        </w:tc>
        <w:tc>
          <w:tcPr>
            <w:tcW w:type="dxa" w:w="1901"/>
            <w:tcMar>
              <w:top w:type="dxa" w:w="110"/>
              <w:left w:type="dxa" w:w="100"/>
              <w:bottom w:type="dxa" w:w="110"/>
              <w:right w:type="dxa" w:w="100"/>
            </w:tcMar>
          </w:tcPr>
          <w:p>
            <w:r>
              <w:rPr>
                <w:i w:val="false"/>
                <w:iCs w:val="false"/>
                <w:color w:val="2A2D32"/>
                <w:sz w:val="16"/>
                <w:szCs w:val="16"/>
              </w:rPr>
              <w:t xml:space="preserve">Why a guardianship clause is included; why two trustees act jointly for a minors' trust; the open class of children; a jointly-owned home and account passing outside the will</w:t>
            </w:r>
          </w:p>
        </w:tc>
      </w:tr>
      <w:tr>
        <w:tc>
          <w:tcPr>
            <w:tcW w:type="dxa" w:w="1141"/>
            <w:tcMar>
              <w:top w:type="dxa" w:w="110"/>
              <w:left w:type="dxa" w:w="100"/>
              <w:bottom w:type="dxa" w:w="110"/>
              <w:right w:type="dxa" w:w="100"/>
            </w:tcMar>
          </w:tcPr>
          <w:p>
            <w:r>
              <w:rPr>
                <w:i w:val="false"/>
                <w:iCs w:val="false"/>
                <w:color w:val="2A2D32"/>
                <w:sz w:val="16"/>
                <w:szCs w:val="16"/>
              </w:rPr>
              <w:t xml:space="preserve">C — Susan Marchant</w:t>
            </w:r>
          </w:p>
        </w:tc>
        <w:tc>
          <w:tcPr>
            <w:tcW w:type="dxa" w:w="1711"/>
            <w:tcMar>
              <w:top w:type="dxa" w:w="110"/>
              <w:left w:type="dxa" w:w="100"/>
              <w:bottom w:type="dxa" w:w="110"/>
              <w:right w:type="dxa" w:w="100"/>
            </w:tcMar>
          </w:tcPr>
          <w:p>
            <w:r>
              <w:rPr>
                <w:i w:val="false"/>
                <w:iCs w:val="false"/>
                <w:color w:val="2A2D32"/>
                <w:sz w:val="16"/>
                <w:szCs w:val="16"/>
              </w:rPr>
              <w:t xml:space="preserve">Widow, three adult children (one a stepson, one estranged)</w:t>
            </w:r>
          </w:p>
        </w:tc>
        <w:tc>
          <w:tcPr>
            <w:tcW w:type="dxa" w:w="1711"/>
            <w:tcMar>
              <w:top w:type="dxa" w:w="110"/>
              <w:left w:type="dxa" w:w="100"/>
              <w:bottom w:type="dxa" w:w="110"/>
              <w:right w:type="dxa" w:w="100"/>
            </w:tcMar>
          </w:tcPr>
          <w:p>
            <w:r>
              <w:rPr>
                <w:i w:val="false"/>
                <w:iCs w:val="false"/>
                <w:color w:val="2A2D32"/>
                <w:sz w:val="16"/>
                <w:szCs w:val="16"/>
              </w:rPr>
              <w:t xml:space="preserve">Two named jointly (daughter and stepson), a friend as substitute</w:t>
            </w:r>
          </w:p>
        </w:tc>
        <w:tc>
          <w:tcPr>
            <w:tcW w:type="dxa" w:w="1331"/>
            <w:tcMar>
              <w:top w:type="dxa" w:w="110"/>
              <w:left w:type="dxa" w:w="100"/>
              <w:bottom w:type="dxa" w:w="110"/>
              <w:right w:type="dxa" w:w="100"/>
            </w:tcMar>
          </w:tcPr>
          <w:p>
            <w:r>
              <w:rPr>
                <w:i w:val="false"/>
                <w:iCs w:val="false"/>
                <w:color w:val="B0764A"/>
                <w:sz w:val="16"/>
                <w:szCs w:val="16"/>
              </w:rPr>
              <w:t xml:space="preserve">None — clause correctly omitted</w:t>
            </w:r>
          </w:p>
        </w:tc>
        <w:tc>
          <w:tcPr>
            <w:tcW w:type="dxa" w:w="1711"/>
            <w:tcMar>
              <w:top w:type="dxa" w:w="110"/>
              <w:left w:type="dxa" w:w="100"/>
              <w:bottom w:type="dxa" w:w="110"/>
              <w:right w:type="dxa" w:w="100"/>
            </w:tcMar>
          </w:tcPr>
          <w:p>
            <w:r>
              <w:rPr>
                <w:i w:val="false"/>
                <w:iCs w:val="false"/>
                <w:color w:val="2A2D32"/>
                <w:sz w:val="16"/>
                <w:szCs w:val="16"/>
              </w:rPr>
              <w:t xml:space="preserve">Unequal 60/40 split, each share with its own fallback, a stated exclusion</w:t>
            </w:r>
          </w:p>
        </w:tc>
        <w:tc>
          <w:tcPr>
            <w:tcW w:type="dxa" w:w="1901"/>
            <w:tcMar>
              <w:top w:type="dxa" w:w="110"/>
              <w:left w:type="dxa" w:w="100"/>
              <w:bottom w:type="dxa" w:w="110"/>
              <w:right w:type="dxa" w:w="100"/>
            </w:tcMar>
          </w:tcPr>
          <w:p>
            <w:r>
              <w:rPr>
                <w:i w:val="false"/>
                <w:iCs w:val="false"/>
                <w:color w:val="2A2D32"/>
                <w:sz w:val="16"/>
                <w:szCs w:val="16"/>
              </w:rPr>
              <w:t xml:space="preserve">How to leave someone out safely; why an unequal split needs no explanation in the will; the 1975 Act risk for a deliberately excluded child; a step-child's residence nil-rate band position</w:t>
            </w:r>
          </w:p>
        </w:tc>
      </w:tr>
    </w:tbl>
    <w:p>
      <w:pPr>
        <w:spacing w:after="160" w:before="220"/>
      </w:pPr>
      <w:r>
        <w:rPr>
          <w:color w:val="2A2D32"/>
          <w:sz w:val="21"/>
          <w:szCs w:val="21"/>
        </w:rPr>
        <w:t xml:space="preserve">Every will on this page follows the same seven-clause order: 1 testator and declaration, 2 revocation, 3 appointment of executors, 4 appointment of guardians, 5 specific gifts, 6 gift of residue, and 7 attestation. The same shape, drafted differently for each household — see how, in the table above and in each will's own clause-by-clause annotation.</w:t>
      </w:r>
    </w:p>
    <w:p>
      <w:pPr>
        <w:spacing w:after="160"/>
      </w:pPr>
      <w:r>
        <w:rPr>
          <w:color w:val="2A2D32"/>
          <w:sz w:val="21"/>
          <w:szCs w:val="21"/>
        </w:rPr>
        <w:t xml:space="preserve">Clause 4 only exists in a will where the testator has children under 18 — it appoints who raises them if both parents have died. Where there are no minor children, the clause is correctly omitted, not left as a numbered blank: Naomi's and Susan's wills both skip from Clause 3 straight to Clause 5, and note why in place of the missing clause.</w:t>
      </w:r>
    </w:p>
    <w:p>
      <w:r>
        <w:br w:type="page"/>
      </w:r>
    </w:p>
    <w:p>
      <w:pPr>
        <w:pStyle w:val="Heading1"/>
        <w:pBdr>
          <w:bottom w:val="single" w:color="B0764A" w:sz="6" w:space="8"/>
        </w:pBdr>
        <w:spacing w:after="60" w:before="200"/>
      </w:pPr>
      <w:r>
        <w:rPr>
          <w:b/>
          <w:bCs/>
          <w:color w:val="2A2D32"/>
          <w:sz w:val="32"/>
          <w:szCs w:val="32"/>
        </w:rPr>
        <w:t xml:space="preserve">Naomi Pemberton's Will</w:t>
      </w:r>
    </w:p>
    <w:p>
      <w:pPr>
        <w:spacing w:after="200"/>
      </w:pPr>
      <w:r>
        <w:rPr>
          <w:i/>
          <w:iCs/>
          <w:color w:val="6A6E73"/>
          <w:sz w:val="19"/>
          <w:szCs w:val="19"/>
        </w:rPr>
        <w:t xml:space="preserve">Household A — a single person, no children</w:t>
      </w:r>
    </w:p>
    <w:p>
      <w:pPr>
        <w:pStyle w:val="Heading3"/>
        <w:spacing w:after="100" w:before="60"/>
      </w:pPr>
      <w:r>
        <w:rPr>
          <w:b/>
          <w:bCs/>
          <w:color w:val="2A2D32"/>
          <w:sz w:val="21"/>
          <w:szCs w:val="21"/>
        </w:rPr>
        <w:t xml:space="preserve">The facts</w:t>
      </w:r>
    </w:p>
    <w:p>
      <w:pPr>
        <w:spacing w:after="160"/>
      </w:pPr>
      <w:r>
        <w:rPr>
          <w:color w:val="2A2D32"/>
          <w:sz w:val="21"/>
          <w:szCs w:val="21"/>
        </w:rPr>
        <w:t xml:space="preserve">Naomi Grace Pemberton, born 14 August 1989, unmarried, no children, no partner, of 22 Foxglove Road, Bristol BS6 7QS. Owns her flat outright, no joint owner. A cat, Marmalade. Her sister Eleanor (“Ellie”) Grace Pemberton, of 41 Birch Way, Bristol BS7 8LN, is her closest relative; her closest friend is Priya Anjali Shah, of 6 Orchard Court, Bristol BS8 2RT. Her nephew, Jack Ellery, is Ellie's son. She has an older brother, Callum, from whom she has been estranged for six years — the will does not mention him (see the Clause 5 note). She wants to support Cancer Research UK. Will made 3 March 2026.</w:t>
      </w:r>
    </w:p>
    <w:p>
      <w:pPr>
        <w:spacing w:after="260" w:before="40"/>
      </w:pPr>
      <w:r>
        <w:rPr>
          <w:b/>
          <w:bCs/>
          <w:i/>
          <w:iCs/>
          <w:color w:val="6A6E73"/>
          <w:sz w:val="19"/>
          <w:szCs w:val="19"/>
        </w:rPr>
        <w:t xml:space="preserve">Naomi Pemberton is not a real person. Every name, address and figure in this will is invented.</w:t>
      </w:r>
    </w:p>
    <w:p>
      <w:pPr>
        <w:pStyle w:val="Heading2"/>
        <w:spacing w:after="120" w:before="360"/>
      </w:pPr>
      <w:r>
        <w:rPr>
          <w:b/>
          <w:bCs/>
          <w:color w:val="B0764A"/>
          <w:sz w:val="24"/>
          <w:szCs w:val="24"/>
        </w:rPr>
        <w:t xml:space="preserve">Clause 1 · Testator and declaration</w:t>
      </w:r>
    </w:p>
    <w:p>
      <w:pPr>
        <w:pBdr>
          <w:left w:val="single" w:color="D9D5D0" w:sz="8" w:space="8"/>
        </w:pBdr>
        <w:spacing w:after="140"/>
        <w:ind w:left="260"/>
      </w:pPr>
      <w:r>
        <w:rPr>
          <w:i w:val="false"/>
          <w:iCs w:val="false"/>
          <w:color w:val="2A2D32"/>
          <w:sz w:val="21"/>
          <w:szCs w:val="21"/>
        </w:rPr>
        <w:t xml:space="preserve">This is the last will and testament of </w:t>
      </w:r>
      <w:r>
        <w:rPr>
          <w:b/>
          <w:bCs/>
          <w:color w:val="2A2D32"/>
          <w:sz w:val="21"/>
          <w:szCs w:val="21"/>
        </w:rPr>
        <w:t xml:space="preserve">Naomi Grace Pemberton</w:t>
      </w:r>
      <w:r>
        <w:rPr>
          <w:i w:val="false"/>
          <w:iCs w:val="false"/>
          <w:color w:val="2A2D32"/>
          <w:sz w:val="21"/>
          <w:szCs w:val="21"/>
        </w:rPr>
        <w:t xml:space="preserve">, born </w:t>
      </w:r>
      <w:r>
        <w:rPr>
          <w:b/>
          <w:bCs/>
          <w:color w:val="2A2D32"/>
          <w:sz w:val="21"/>
          <w:szCs w:val="21"/>
        </w:rPr>
        <w:t xml:space="preserve">14 August 1989</w:t>
      </w:r>
      <w:r>
        <w:rPr>
          <w:i w:val="false"/>
          <w:iCs w:val="false"/>
          <w:color w:val="2A2D32"/>
          <w:sz w:val="21"/>
          <w:szCs w:val="21"/>
        </w:rPr>
        <w:t xml:space="preserve">, of </w:t>
      </w:r>
      <w:r>
        <w:rPr>
          <w:b/>
          <w:bCs/>
          <w:color w:val="2A2D32"/>
          <w:sz w:val="21"/>
          <w:szCs w:val="21"/>
        </w:rPr>
        <w:t xml:space="preserve">22 Foxglove Road, Bristol BS6 7QS</w:t>
      </w:r>
      <w:r>
        <w:rPr>
          <w:i w:val="false"/>
          <w:iCs w:val="false"/>
          <w:color w:val="2A2D32"/>
          <w:sz w:val="21"/>
          <w:szCs w:val="21"/>
        </w:rPr>
        <w:t xml:space="preserve">, made by me on the </w:t>
      </w:r>
      <w:r>
        <w:rPr>
          <w:b/>
          <w:bCs/>
          <w:color w:val="2A2D32"/>
          <w:sz w:val="21"/>
          <w:szCs w:val="21"/>
        </w:rPr>
        <w:t xml:space="preserve">3rd</w:t>
      </w:r>
      <w:r>
        <w:rPr>
          <w:i w:val="false"/>
          <w:iCs w:val="false"/>
          <w:color w:val="2A2D32"/>
          <w:sz w:val="21"/>
          <w:szCs w:val="21"/>
        </w:rPr>
        <w:t xml:space="preserve"> day of </w:t>
      </w:r>
      <w:r>
        <w:rPr>
          <w:b/>
          <w:bCs/>
          <w:color w:val="2A2D32"/>
          <w:sz w:val="21"/>
          <w:szCs w:val="21"/>
        </w:rPr>
        <w:t xml:space="preserve">March 2026</w:t>
      </w:r>
      <w:r>
        <w:rPr>
          <w:i w:val="false"/>
          <w:iCs w:val="false"/>
          <w:color w:val="2A2D32"/>
          <w:sz w:val="21"/>
          <w:szCs w:val="21"/>
        </w:rPr>
        <w:t xml:space="preserve">. I declare this to be my last will, and that I am of sound mind and make it freely.</w:t>
      </w:r>
    </w:p>
    <w:p>
      <w:pPr>
        <w:spacing w:after="180"/>
        <w:ind w:left="420"/>
      </w:pPr>
      <w:r>
        <w:rPr>
          <w:i/>
          <w:iCs/>
          <w:color w:val="6A6E73"/>
          <w:sz w:val="19"/>
          <w:szCs w:val="19"/>
        </w:rPr>
        <w:t xml:space="preserve">Why:</w:t>
      </w:r>
      <w:r>
        <w:rPr>
          <w:i/>
          <w:iCs/>
          <w:color w:val="6A6E73"/>
          <w:sz w:val="19"/>
          <w:szCs w:val="19"/>
        </w:rPr>
        <w:t xml:space="preserve"> full name, date of birth and address rule out confusion with anyone of a similar name. “Of sound mind … freely” is a contemporaneous record of capacity (the </w:t>
      </w:r>
      <w:r>
        <w:rPr>
          <w:i/>
          <w:iCs/>
          <w:color w:val="6A6E73"/>
          <w:sz w:val="19"/>
          <w:szCs w:val="19"/>
        </w:rPr>
        <w:t xml:space="preserve">Banks v Goodfellow</w:t>
      </w:r>
      <w:r>
        <w:rPr>
          <w:i/>
          <w:iCs/>
          <w:color w:val="6A6E73"/>
          <w:sz w:val="19"/>
          <w:szCs w:val="19"/>
        </w:rPr>
        <w:t xml:space="preserve"> (1870) LR 5 QB 549 test: knowing that a will is being made and what it does, broadly what is owned, who might expect to benefit, and no disorder of mind distorting the judgement) and of the absence of pressure. Nothing about being single changes this clause — it is the one every will on this page shares.</w:t>
      </w:r>
    </w:p>
    <w:p>
      <w:pPr>
        <w:pStyle w:val="Heading2"/>
        <w:spacing w:after="120" w:before="360"/>
      </w:pPr>
      <w:r>
        <w:rPr>
          <w:b/>
          <w:bCs/>
          <w:color w:val="B0764A"/>
          <w:sz w:val="24"/>
          <w:szCs w:val="24"/>
        </w:rPr>
        <w:t xml:space="preserve">Clause 2 · Revocation</w:t>
      </w:r>
    </w:p>
    <w:p>
      <w:pPr>
        <w:pBdr>
          <w:left w:val="single" w:color="D9D5D0" w:sz="8" w:space="8"/>
        </w:pBdr>
        <w:spacing w:after="140"/>
        <w:ind w:left="260"/>
      </w:pPr>
      <w:r>
        <w:rPr>
          <w:i w:val="false"/>
          <w:iCs w:val="false"/>
          <w:color w:val="2A2D32"/>
          <w:sz w:val="21"/>
          <w:szCs w:val="21"/>
        </w:rPr>
        <w:t xml:space="preserve">I revoke all earlier wills and codicils made by me.</w:t>
      </w:r>
    </w:p>
    <w:p>
      <w:pPr>
        <w:spacing w:after="180"/>
        <w:ind w:left="420"/>
      </w:pPr>
      <w:r>
        <w:rPr>
          <w:i/>
          <w:iCs/>
          <w:color w:val="6A6E73"/>
          <w:sz w:val="19"/>
          <w:szCs w:val="19"/>
        </w:rPr>
        <w:t xml:space="preserve">Why:</w:t>
      </w:r>
      <w:r>
        <w:rPr>
          <w:i/>
          <w:iCs/>
          <w:color w:val="6A6E73"/>
          <w:sz w:val="19"/>
          <w:szCs w:val="19"/>
        </w:rPr>
        <w:t xml:space="preserve"> this is Naomi's first will, so there is nothing yet to revoke — the clause is still included, because a later will needs it to cancel this one, and it costs nothing now. Wills Act 1837 s.20: a will is revoked by a later will or codicil, by a written declaration executed like a will, or by destruction with intent.</w:t>
      </w:r>
    </w:p>
    <w:p>
      <w:pPr>
        <w:pStyle w:val="Heading2"/>
        <w:spacing w:after="120" w:before="360"/>
      </w:pPr>
      <w:r>
        <w:rPr>
          <w:b/>
          <w:bCs/>
          <w:color w:val="B0764A"/>
          <w:sz w:val="24"/>
          <w:szCs w:val="24"/>
        </w:rPr>
        <w:t xml:space="preserve">Clause 3 · Appointment of executors</w:t>
      </w:r>
    </w:p>
    <w:p>
      <w:pPr>
        <w:pBdr>
          <w:left w:val="single" w:color="D9D5D0" w:sz="8" w:space="8"/>
        </w:pBdr>
        <w:spacing w:after="140"/>
        <w:ind w:left="260"/>
      </w:pPr>
      <w:r>
        <w:rPr>
          <w:i w:val="false"/>
          <w:iCs w:val="false"/>
          <w:color w:val="2A2D32"/>
          <w:sz w:val="21"/>
          <w:szCs w:val="21"/>
        </w:rPr>
        <w:t xml:space="preserve">I appoint my sister, </w:t>
      </w:r>
      <w:r>
        <w:rPr>
          <w:b/>
          <w:bCs/>
          <w:color w:val="2A2D32"/>
          <w:sz w:val="21"/>
          <w:szCs w:val="21"/>
        </w:rPr>
        <w:t xml:space="preserve">Eleanor Grace Pemberton</w:t>
      </w:r>
      <w:r>
        <w:rPr>
          <w:i w:val="false"/>
          <w:iCs w:val="false"/>
          <w:color w:val="2A2D32"/>
          <w:sz w:val="21"/>
          <w:szCs w:val="21"/>
        </w:rPr>
        <w:t xml:space="preserve">, of </w:t>
      </w:r>
      <w:r>
        <w:rPr>
          <w:b/>
          <w:bCs/>
          <w:color w:val="2A2D32"/>
          <w:sz w:val="21"/>
          <w:szCs w:val="21"/>
        </w:rPr>
        <w:t xml:space="preserve">41 Birch Way, Bristol BS7 8LN</w:t>
      </w:r>
      <w:r>
        <w:rPr>
          <w:i w:val="false"/>
          <w:iCs w:val="false"/>
          <w:color w:val="2A2D32"/>
          <w:sz w:val="21"/>
          <w:szCs w:val="21"/>
        </w:rPr>
        <w:t xml:space="preserve">, to be the executor and trustee of my will. If she is unable or unwilling to act, or does not survive me by 28 days, I appoint my friend, </w:t>
      </w:r>
      <w:r>
        <w:rPr>
          <w:b/>
          <w:bCs/>
          <w:color w:val="2A2D32"/>
          <w:sz w:val="21"/>
          <w:szCs w:val="21"/>
        </w:rPr>
        <w:t xml:space="preserve">Priya Anjali Shah</w:t>
      </w:r>
      <w:r>
        <w:rPr>
          <w:i w:val="false"/>
          <w:iCs w:val="false"/>
          <w:color w:val="2A2D32"/>
          <w:sz w:val="21"/>
          <w:szCs w:val="21"/>
        </w:rPr>
        <w:t xml:space="preserve">, of </w:t>
      </w:r>
      <w:r>
        <w:rPr>
          <w:b/>
          <w:bCs/>
          <w:color w:val="2A2D32"/>
          <w:sz w:val="21"/>
          <w:szCs w:val="21"/>
        </w:rPr>
        <w:t xml:space="preserve">6 Orchard Court, Bristol BS8 2RT</w:t>
      </w:r>
      <w:r>
        <w:rPr>
          <w:i w:val="false"/>
          <w:iCs w:val="false"/>
          <w:color w:val="2A2D32"/>
          <w:sz w:val="21"/>
          <w:szCs w:val="21"/>
        </w:rPr>
        <w:t xml:space="preserve">, to be the executor and trustee of my will in her place.</w:t>
      </w:r>
    </w:p>
    <w:p>
      <w:pPr>
        <w:spacing w:after="180"/>
        <w:ind w:left="420"/>
      </w:pPr>
      <w:r>
        <w:rPr>
          <w:i/>
          <w:iCs/>
          <w:color w:val="6A6E73"/>
          <w:sz w:val="19"/>
          <w:szCs w:val="19"/>
        </w:rPr>
        <w:t xml:space="preserve">Why:</w:t>
      </w:r>
      <w:r>
        <w:rPr>
          <w:i/>
          <w:iCs/>
          <w:color w:val="6A6E73"/>
          <w:sz w:val="19"/>
          <w:szCs w:val="19"/>
        </w:rPr>
        <w:t xml:space="preserve"> with no spouse, the natural first choice is the closest relative she trusts — a sibling rather than a parent, because parents are more likely to die before an adult child. The substitute is a friend, not another relative, so one accident cannot remove both. Without a named executor the court appoints an administrator in the intestacy priority order, which would not necessarily be Ellie. The 28-day wording stops the appointment passing to Ellie's own executors if she dies shortly after Naomi. A sole executor is safe here: Ellie is also the residuary beneficiary, so nothing needs two trustees' receipts (contrast Households B and C).</w:t>
      </w:r>
    </w:p>
    <w:p>
      <w:pPr>
        <w:pStyle w:val="Heading2"/>
        <w:spacing w:after="120" w:before="360"/>
      </w:pPr>
      <w:r>
        <w:rPr>
          <w:b/>
          <w:bCs/>
          <w:color w:val="B0764A"/>
          <w:sz w:val="24"/>
          <w:szCs w:val="24"/>
        </w:rPr>
        <w:t xml:space="preserve">Clause 4 · Appointment of guardians</w:t>
      </w:r>
    </w:p>
    <w:p>
      <w:pPr>
        <w:spacing w:after="100"/>
      </w:pPr>
      <w:r>
        <w:rPr>
          <w:b/>
          <w:bCs/>
          <w:i/>
          <w:iCs/>
          <w:color w:val="2A2D32"/>
          <w:sz w:val="21"/>
          <w:szCs w:val="21"/>
        </w:rPr>
        <w:t xml:space="preserve">Omitted.</w:t>
      </w:r>
    </w:p>
    <w:p>
      <w:pPr>
        <w:spacing w:after="180"/>
        <w:ind w:left="420"/>
      </w:pPr>
      <w:r>
        <w:rPr>
          <w:i/>
          <w:iCs/>
          <w:color w:val="6A6E73"/>
          <w:sz w:val="19"/>
          <w:szCs w:val="19"/>
        </w:rPr>
        <w:t xml:space="preserve">This clause exists only in a will where the testator has children under 18. It appoints who raises them if both parents have died — see Rachel Hargreave's will, Clause 4. Leaving it out is the correct drafting; a guardianship clause that names nobody, or names someone ‘just in case’, creates confusion about whether it was meant to apply. When you copy this will and it has no clause 4, do not leave a numbered gap: renumber the clauses that follow, so your signed will runs 1 to 6 with nothing missing.</w:t>
      </w:r>
    </w:p>
    <w:p>
      <w:pPr>
        <w:pStyle w:val="Heading2"/>
        <w:spacing w:after="120" w:before="360"/>
      </w:pPr>
      <w:r>
        <w:rPr>
          <w:b/>
          <w:bCs/>
          <w:color w:val="B0764A"/>
          <w:sz w:val="24"/>
          <w:szCs w:val="24"/>
        </w:rPr>
        <w:t xml:space="preserve">Clause 5 · Specific gifts</w:t>
      </w:r>
    </w:p>
    <w:p>
      <w:pPr>
        <w:pBdr>
          <w:left w:val="single" w:color="D9D5D0" w:sz="8" w:space="8"/>
        </w:pBdr>
        <w:spacing w:after="140"/>
        <w:ind w:left="260"/>
      </w:pPr>
      <w:r>
        <w:rPr>
          <w:i w:val="false"/>
          <w:iCs w:val="false"/>
          <w:color w:val="2A2D32"/>
          <w:sz w:val="21"/>
          <w:szCs w:val="21"/>
        </w:rPr>
        <w:t xml:space="preserve">I give the following specific gifts, free of tax, to the people and organisations named. Each gift fails if the person dies before me, unless I say otherwise:
(a) my cat, Marmalade, to my friend, </w:t>
      </w:r>
      <w:r>
        <w:rPr>
          <w:b/>
          <w:bCs/>
          <w:color w:val="2A2D32"/>
          <w:sz w:val="21"/>
          <w:szCs w:val="21"/>
        </w:rPr>
        <w:t xml:space="preserve">Priya Anjali Shah</w:t>
      </w:r>
      <w:r>
        <w:rPr>
          <w:i w:val="false"/>
          <w:iCs w:val="false"/>
          <w:color w:val="2A2D32"/>
          <w:sz w:val="21"/>
          <w:szCs w:val="21"/>
        </w:rPr>
        <w:t xml:space="preserve">, if she is able and willing to look after her;
(b) </w:t>
      </w:r>
      <w:r>
        <w:rPr>
          <w:b/>
          <w:bCs/>
          <w:color w:val="2A2D32"/>
          <w:sz w:val="21"/>
          <w:szCs w:val="21"/>
        </w:rPr>
        <w:t xml:space="preserve">£1,000</w:t>
      </w:r>
      <w:r>
        <w:rPr>
          <w:i w:val="false"/>
          <w:iCs w:val="false"/>
          <w:color w:val="2A2D32"/>
          <w:sz w:val="21"/>
          <w:szCs w:val="21"/>
        </w:rPr>
        <w:t xml:space="preserve"> to my friend, </w:t>
      </w:r>
      <w:r>
        <w:rPr>
          <w:b/>
          <w:bCs/>
          <w:color w:val="2A2D32"/>
          <w:sz w:val="21"/>
          <w:szCs w:val="21"/>
        </w:rPr>
        <w:t xml:space="preserve">Priya Anjali Shah</w:t>
      </w:r>
      <w:r>
        <w:rPr>
          <w:i w:val="false"/>
          <w:iCs w:val="false"/>
          <w:color w:val="2A2D32"/>
          <w:sz w:val="21"/>
          <w:szCs w:val="21"/>
        </w:rPr>
        <w:t xml:space="preserve">, absolutely;
(c) </w:t>
      </w:r>
      <w:r>
        <w:rPr>
          <w:b/>
          <w:bCs/>
          <w:color w:val="2A2D32"/>
          <w:sz w:val="21"/>
          <w:szCs w:val="21"/>
        </w:rPr>
        <w:t xml:space="preserve">£500</w:t>
      </w:r>
      <w:r>
        <w:rPr>
          <w:i w:val="false"/>
          <w:iCs w:val="false"/>
          <w:color w:val="2A2D32"/>
          <w:sz w:val="21"/>
          <w:szCs w:val="21"/>
        </w:rPr>
        <w:t xml:space="preserve"> to my nephew, </w:t>
      </w:r>
      <w:r>
        <w:rPr>
          <w:b/>
          <w:bCs/>
          <w:color w:val="2A2D32"/>
          <w:sz w:val="21"/>
          <w:szCs w:val="21"/>
        </w:rPr>
        <w:t xml:space="preserve">Jack Ellery</w:t>
      </w:r>
      <w:r>
        <w:rPr>
          <w:i w:val="false"/>
          <w:iCs w:val="false"/>
          <w:color w:val="2A2D32"/>
          <w:sz w:val="21"/>
          <w:szCs w:val="21"/>
        </w:rPr>
        <w:t xml:space="preserve">;
(d) </w:t>
      </w:r>
      <w:r>
        <w:rPr>
          <w:b/>
          <w:bCs/>
          <w:color w:val="2A2D32"/>
          <w:sz w:val="21"/>
          <w:szCs w:val="21"/>
        </w:rPr>
        <w:t xml:space="preserve">£2,000</w:t>
      </w:r>
      <w:r>
        <w:rPr>
          <w:i w:val="false"/>
          <w:iCs w:val="false"/>
          <w:color w:val="2A2D32"/>
          <w:sz w:val="21"/>
          <w:szCs w:val="21"/>
        </w:rPr>
        <w:t xml:space="preserve"> to </w:t>
      </w:r>
      <w:r>
        <w:rPr>
          <w:b/>
          <w:bCs/>
          <w:color w:val="2A2D32"/>
          <w:sz w:val="21"/>
          <w:szCs w:val="21"/>
        </w:rPr>
        <w:t xml:space="preserve">Cancer Research UK</w:t>
      </w:r>
      <w:r>
        <w:rPr>
          <w:i w:val="false"/>
          <w:iCs w:val="false"/>
          <w:color w:val="2A2D32"/>
          <w:sz w:val="21"/>
          <w:szCs w:val="21"/>
        </w:rPr>
        <w:t xml:space="preserve"> (registered charity number </w:t>
      </w:r>
      <w:r>
        <w:rPr>
          <w:b/>
          <w:bCs/>
          <w:color w:val="2A2D32"/>
          <w:sz w:val="21"/>
          <w:szCs w:val="21"/>
        </w:rPr>
        <w:t xml:space="preserve">1089464</w:t>
      </w:r>
      <w:r>
        <w:rPr>
          <w:i w:val="false"/>
          <w:iCs w:val="false"/>
          <w:color w:val="2A2D32"/>
          <w:sz w:val="21"/>
          <w:szCs w:val="21"/>
        </w:rPr>
        <w:t xml:space="preserve">).</w:t>
      </w:r>
    </w:p>
    <w:p>
      <w:pPr>
        <w:spacing w:after="180"/>
        <w:ind w:left="420"/>
      </w:pPr>
      <w:r>
        <w:rPr>
          <w:i/>
          <w:iCs/>
          <w:color w:val="6A6E73"/>
          <w:sz w:val="19"/>
          <w:szCs w:val="19"/>
        </w:rPr>
        <w:t xml:space="preserve">Why — the pet:</w:t>
      </w:r>
      <w:r>
        <w:rPr>
          <w:i/>
          <w:iCs/>
          <w:color w:val="6A6E73"/>
          <w:sz w:val="19"/>
          <w:szCs w:val="19"/>
        </w:rPr>
        <w:t xml:space="preserve"> an animal cannot own anything, so a will cannot leave anything “to” a pet. What works is a gift of the animal to a </w:t>
      </w:r>
      <w:r>
        <w:rPr>
          <w:b/>
          <w:bCs/>
          <w:color w:val="6A6E73"/>
          <w:sz w:val="19"/>
          <w:szCs w:val="19"/>
        </w:rPr>
        <w:t xml:space="preserve">named person</w:t>
      </w:r>
      <w:r>
        <w:rPr>
          <w:i/>
          <w:iCs/>
          <w:color w:val="6A6E73"/>
          <w:sz w:val="19"/>
          <w:szCs w:val="19"/>
        </w:rPr>
        <w:t xml:space="preserve"> — and, if you want to help with the cost, a </w:t>
      </w:r>
      <w:r>
        <w:rPr>
          <w:b/>
          <w:bCs/>
          <w:color w:val="6A6E73"/>
          <w:sz w:val="19"/>
          <w:szCs w:val="19"/>
        </w:rPr>
        <w:t xml:space="preserve">separate, outright</w:t>
      </w:r>
      <w:r>
        <w:rPr>
          <w:i/>
          <w:iCs/>
          <w:color w:val="6A6E73"/>
          <w:sz w:val="19"/>
          <w:szCs w:val="19"/>
        </w:rPr>
        <w:t xml:space="preserve"> gift of money to the same person. The two are deliberately two lines: money described as “to be used for her care” reads as an attempt to attach a binding purpose, which English trust law will not enforce by accident for a non-charitable purpose like one pet's upkeep (a valid trust for an animal's maintenance is possible, but needs a solicitor, a named trustee and a fixed duration). The cat gift is conditional on Priya being “able and willing” — a condition on </w:t>
      </w:r>
      <w:r>
        <w:rPr>
          <w:b/>
          <w:bCs/>
          <w:color w:val="6A6E73"/>
          <w:sz w:val="19"/>
          <w:szCs w:val="19"/>
        </w:rPr>
        <w:t xml:space="preserve">who takes</w:t>
      </w:r>
      <w:r>
        <w:rPr>
          <w:i/>
          <w:iCs/>
          <w:color w:val="6A6E73"/>
          <w:sz w:val="19"/>
          <w:szCs w:val="19"/>
        </w:rPr>
        <w:t xml:space="preserve">, the same safe shape as “is able to take” in Clause 6 — while the money is given regardless, so it is never in doubt. Once the gift takes effect Priya becomes the person responsible for Marmalade in law and owes her a statutory duty of care (Animal Welfare Act 2006 ss.3, 9) — a duty owed to the animal, not to the estate, and not something the will enforces. Wills Act 1837 s.33 does not rescue a gift to a friend if she dies first — only gifts to the testator's own children or descendants — which is why the chapeau says each gift fails if the person dies before me: the cat and the money then fall into residue together.</w:t>
      </w:r>
    </w:p>
    <w:p>
      <w:pPr>
        <w:spacing w:after="180"/>
        <w:ind w:left="420"/>
      </w:pPr>
      <w:r>
        <w:rPr>
          <w:i/>
          <w:iCs/>
          <w:color w:val="6A6E73"/>
          <w:sz w:val="19"/>
          <w:szCs w:val="19"/>
        </w:rPr>
        <w:t xml:space="preserve">Why — the charity:</w:t>
      </w:r>
      <w:r>
        <w:rPr>
          <w:i/>
          <w:iCs/>
          <w:color w:val="6A6E73"/>
          <w:sz w:val="19"/>
          <w:szCs w:val="19"/>
        </w:rPr>
        <w:t xml:space="preserve"> the full registered name and the charity number, not the name Naomi knows it by. Charities merge, rebrand and share names; the number is what a bank or the Charity Commission checks. The gift is exempt from inheritance tax outright, whatever its size (Inheritance Tax Act 1984 s.23). It is far too small, against an ordinary estate, to bring the 36% reduced rate into play (Sch. 1A: at least 10% of the estate's value after the £325,000 nil-rate band, once the charity gift itself is added back into that figure) — the page says so rather than implying otherwise.</w:t>
      </w:r>
    </w:p>
    <w:p>
      <w:pPr>
        <w:spacing w:after="180"/>
        <w:ind w:left="420"/>
      </w:pPr>
      <w:r>
        <w:rPr>
          <w:i/>
          <w:iCs/>
          <w:color w:val="6A6E73"/>
          <w:sz w:val="19"/>
          <w:szCs w:val="19"/>
        </w:rPr>
        <w:t xml:space="preserve">Why — the brother who is not mentioned:</w:t>
      </w:r>
      <w:r>
        <w:rPr>
          <w:i/>
          <w:iCs/>
          <w:color w:val="6A6E73"/>
          <w:sz w:val="19"/>
          <w:szCs w:val="19"/>
        </w:rPr>
        <w:t xml:space="preserve"> Naomi's will does not name Callum and does not say it is excluding him. It simply does not include him, as it does not include everyone else she is leaving nothing to. For an estranged sibling with no dependency on her, silence is the ordinary, low-drama choice. Naming someone in order to exclude them (as Susan Marchant does with her son, Clause 6 of Household C) is the stronger step, reserved for a child of the deceased — the one relative whose absence looks like a mistake and who can apply under the Inheritance (Provision for Family and Dependants) Act 1975 regardless. A brother is not on the 1975 Act's list unless he was being maintained by her (s.1(1)(e)).</w:t>
      </w:r>
    </w:p>
    <w:p>
      <w:pPr>
        <w:pStyle w:val="Heading2"/>
        <w:spacing w:after="120" w:before="360"/>
      </w:pPr>
      <w:r>
        <w:rPr>
          <w:b/>
          <w:bCs/>
          <w:color w:val="B0764A"/>
          <w:sz w:val="24"/>
          <w:szCs w:val="24"/>
        </w:rPr>
        <w:t xml:space="preserve">Clause 6 · Gift of residue</w:t>
      </w:r>
    </w:p>
    <w:p>
      <w:pPr>
        <w:pBdr>
          <w:left w:val="single" w:color="D9D5D0" w:sz="8" w:space="8"/>
        </w:pBdr>
        <w:spacing w:after="140"/>
        <w:ind w:left="260"/>
      </w:pPr>
      <w:r>
        <w:rPr>
          <w:i w:val="false"/>
          <w:iCs w:val="false"/>
          <w:color w:val="2A2D32"/>
          <w:sz w:val="21"/>
          <w:szCs w:val="21"/>
        </w:rPr>
        <w:t xml:space="preserve">I give all the rest of my estate, after payment of my debts, funeral and testamentary expenses, and any tax due, to my sister, </w:t>
      </w:r>
      <w:r>
        <w:rPr>
          <w:b/>
          <w:bCs/>
          <w:color w:val="2A2D32"/>
          <w:sz w:val="21"/>
          <w:szCs w:val="21"/>
        </w:rPr>
        <w:t xml:space="preserve">Eleanor Grace Pemberton</w:t>
      </w:r>
      <w:r>
        <w:rPr>
          <w:i w:val="false"/>
          <w:iCs w:val="false"/>
          <w:color w:val="2A2D32"/>
          <w:sz w:val="21"/>
          <w:szCs w:val="21"/>
        </w:rPr>
        <w:t xml:space="preserve">, absolutely, if she survives me by 28 days and is able to take this gift.</w:t>
      </w:r>
    </w:p>
    <w:p>
      <w:pPr>
        <w:pBdr>
          <w:left w:val="single" w:color="D9D5D0" w:sz="8" w:space="8"/>
        </w:pBdr>
        <w:spacing w:after="140"/>
        <w:ind w:left="260"/>
      </w:pPr>
      <w:r>
        <w:rPr>
          <w:i w:val="false"/>
          <w:iCs w:val="false"/>
          <w:color w:val="2A2D32"/>
          <w:sz w:val="21"/>
          <w:szCs w:val="21"/>
        </w:rPr>
        <w:t xml:space="preserve">If she does not survive me by 28 days, or if for any reason this gift to her fails or is void, I give my residuary estate to my friend, </w:t>
      </w:r>
      <w:r>
        <w:rPr>
          <w:b/>
          <w:bCs/>
          <w:color w:val="2A2D32"/>
          <w:sz w:val="21"/>
          <w:szCs w:val="21"/>
        </w:rPr>
        <w:t xml:space="preserve">Priya Anjali Shah</w:t>
      </w:r>
      <w:r>
        <w:rPr>
          <w:i w:val="false"/>
          <w:iCs w:val="false"/>
          <w:color w:val="2A2D32"/>
          <w:sz w:val="21"/>
          <w:szCs w:val="21"/>
        </w:rPr>
        <w:t xml:space="preserve">, absolutely, if she survives me by 28 days and is able to take this gift.</w:t>
      </w:r>
    </w:p>
    <w:p>
      <w:pPr>
        <w:pBdr>
          <w:left w:val="single" w:color="D9D5D0" w:sz="8" w:space="8"/>
        </w:pBdr>
        <w:spacing w:after="140"/>
        <w:ind w:left="260"/>
      </w:pPr>
      <w:r>
        <w:rPr>
          <w:i w:val="false"/>
          <w:iCs w:val="false"/>
          <w:color w:val="2A2D32"/>
          <w:sz w:val="21"/>
          <w:szCs w:val="21"/>
        </w:rPr>
        <w:t xml:space="preserve">If neither of them survives me by 28 days and is able to take, I give my residuary estate to </w:t>
      </w:r>
      <w:r>
        <w:rPr>
          <w:b/>
          <w:bCs/>
          <w:color w:val="2A2D32"/>
          <w:sz w:val="21"/>
          <w:szCs w:val="21"/>
        </w:rPr>
        <w:t xml:space="preserve">Cancer Research UK</w:t>
      </w:r>
      <w:r>
        <w:rPr>
          <w:i w:val="false"/>
          <w:iCs w:val="false"/>
          <w:color w:val="2A2D32"/>
          <w:sz w:val="21"/>
          <w:szCs w:val="21"/>
        </w:rPr>
        <w:t xml:space="preserve"> (registered charity number </w:t>
      </w:r>
      <w:r>
        <w:rPr>
          <w:b/>
          <w:bCs/>
          <w:color w:val="2A2D32"/>
          <w:sz w:val="21"/>
          <w:szCs w:val="21"/>
        </w:rPr>
        <w:t xml:space="preserve">1089464</w:t>
      </w:r>
      <w:r>
        <w:rPr>
          <w:i w:val="false"/>
          <w:iCs w:val="false"/>
          <w:color w:val="2A2D32"/>
          <w:sz w:val="21"/>
          <w:szCs w:val="21"/>
        </w:rPr>
        <w:t xml:space="preserve">) absolutely.</w:t>
      </w:r>
    </w:p>
    <w:p>
      <w:pPr>
        <w:spacing w:after="180"/>
        <w:ind w:left="420"/>
      </w:pPr>
      <w:r>
        <w:rPr>
          <w:i/>
          <w:iCs/>
          <w:color w:val="6A6E73"/>
          <w:sz w:val="19"/>
          <w:szCs w:val="19"/>
        </w:rPr>
        <w:t xml:space="preserve">Why:</w:t>
      </w:r>
      <w:r>
        <w:rPr>
          <w:i/>
          <w:iCs/>
          <w:color w:val="6A6E73"/>
          <w:sz w:val="19"/>
          <w:szCs w:val="19"/>
        </w:rPr>
        <w:t xml:space="preserve"> with no children there is no generation to fall back through, so the chain runs person → backup person → final substitute. </w:t>
      </w:r>
      <w:r>
        <w:rPr>
          <w:b/>
          <w:bCs/>
          <w:color w:val="6A6E73"/>
          <w:sz w:val="19"/>
          <w:szCs w:val="19"/>
        </w:rPr>
        <w:t xml:space="preserve">The 28 days</w:t>
      </w:r>
      <w:r>
        <w:rPr>
          <w:i/>
          <w:iCs/>
          <w:color w:val="6A6E73"/>
          <w:sz w:val="19"/>
          <w:szCs w:val="19"/>
        </w:rPr>
        <w:t xml:space="preserve"> answer Law of Property Act 1925 s.184: where it cannot be known who died first, the younger is presumed to have survived — without a survivorship period Naomi's estate could pass through Ellie's will to people Naomi never chose, and an estate can otherwise pass twice in quick succession. </w:t>
      </w:r>
      <w:r>
        <w:rPr>
          <w:b/>
          <w:bCs/>
          <w:color w:val="6A6E73"/>
          <w:sz w:val="19"/>
          <w:szCs w:val="19"/>
        </w:rPr>
        <w:t xml:space="preserve">“Is able to take” / “fails or is void”</w:t>
      </w:r>
      <w:r>
        <w:rPr>
          <w:i/>
          <w:iCs/>
          <w:color w:val="6A6E73"/>
          <w:sz w:val="19"/>
          <w:szCs w:val="19"/>
        </w:rPr>
        <w:t xml:space="preserve"> matter for a reason easy to miss: if Ellie — also named in this clause — were by mistake to witness this will, s.15 would void her gift, and bare “if she does not survive me” wording would not carry the void gift down to Priya; the estate would fall into intestacy under Administration of Estates Act 1925 s.46 — to Naomi's parents, then siblings, in an order she did not choose. </w:t>
      </w:r>
      <w:r>
        <w:rPr>
          <w:b/>
          <w:bCs/>
          <w:color w:val="6A6E73"/>
          <w:sz w:val="19"/>
          <w:szCs w:val="19"/>
        </w:rPr>
        <w:t xml:space="preserve">A charity as the final substitute</w:t>
      </w:r>
      <w:r>
        <w:rPr>
          <w:i/>
          <w:iCs/>
          <w:color w:val="6A6E73"/>
          <w:sz w:val="19"/>
          <w:szCs w:val="19"/>
        </w:rPr>
        <w:t xml:space="preserve"> is chosen because a charity cannot die before her — the one name guaranteed to exist when the will is read. Unlike Rachel's and Susan's wills, this clause has no “if she leaves children of her own” tier, and that is deliberate: Wills Act 1837 s.33 substitutes only a testator's own children or descendants into a lapsed gift, and has no application to a gift to a sister. If Ellie died before Naomi, her children — including Jack, named separately in Clause 5 — would take no part of this residue; it passes straight to Priya. </w:t>
      </w:r>
      <w:r>
        <w:rPr>
          <w:i/>
          <w:iCs/>
          <w:color w:val="6A6E73"/>
          <w:sz w:val="19"/>
          <w:szCs w:val="19"/>
        </w:rPr>
        <w:t xml:space="preserve">If her life changes:</w:t>
      </w:r>
      <w:r>
        <w:rPr>
          <w:i/>
          <w:iCs/>
          <w:color w:val="6A6E73"/>
          <w:sz w:val="19"/>
          <w:szCs w:val="19"/>
        </w:rPr>
        <w:t xml:space="preserve"> marriage or a civil partnership revokes this will (Wills Act 1837 ss.18, 18B) unless made in expectation of it; a child does not appear in this will automatically, because it names no class of children. Either event means a new will, not an update.</w:t>
      </w:r>
    </w:p>
    <w:p>
      <w:pPr>
        <w:pStyle w:val="Heading2"/>
        <w:spacing w:after="120" w:before="360"/>
      </w:pPr>
      <w:r>
        <w:rPr>
          <w:b/>
          <w:bCs/>
          <w:color w:val="B0764A"/>
          <w:sz w:val="24"/>
          <w:szCs w:val="24"/>
        </w:rPr>
        <w:t xml:space="preserve">Clause 7 · Attestation</w:t>
      </w:r>
    </w:p>
    <w:p>
      <w:pPr>
        <w:pBdr>
          <w:left w:val="single" w:color="D9D5D0" w:sz="8" w:space="8"/>
        </w:pBdr>
        <w:spacing w:after="140"/>
        <w:ind w:left="260"/>
      </w:pPr>
      <w:r>
        <w:rPr>
          <w:i w:val="false"/>
          <w:iCs w:val="false"/>
          <w:color w:val="2A2D32"/>
          <w:sz w:val="21"/>
          <w:szCs w:val="21"/>
        </w:rPr>
        <w:t xml:space="preserve">Signed by the above-named </w:t>
      </w:r>
      <w:r>
        <w:rPr>
          <w:b/>
          <w:bCs/>
          <w:color w:val="2A2D32"/>
          <w:sz w:val="21"/>
          <w:szCs w:val="21"/>
        </w:rPr>
        <w:t xml:space="preserve">Naomi Grace Pemberton</w:t>
      </w:r>
      <w:r>
        <w:rPr>
          <w:i w:val="false"/>
          <w:iCs w:val="false"/>
          <w:color w:val="2A2D32"/>
          <w:sz w:val="21"/>
          <w:szCs w:val="21"/>
        </w:rPr>
        <w:t xml:space="preserve"> as her last will, in our joint presence, and then by us in hers. We were both present at the same time when the testator signed.</w:t>
      </w:r>
    </w:p>
    <w:p>
      <w:pPr>
        <w:spacing w:after="180"/>
        <w:ind w:left="420"/>
      </w:pPr>
      <w:r>
        <w:rPr>
          <w:i/>
          <w:iCs/>
          <w:color w:val="6A6E73"/>
          <w:sz w:val="19"/>
          <w:szCs w:val="19"/>
        </w:rPr>
        <w:t xml:space="preserve">Why:</w:t>
      </w:r>
      <w:r>
        <w:rPr>
          <w:i/>
          <w:iCs/>
          <w:color w:val="6A6E73"/>
          <w:sz w:val="19"/>
          <w:szCs w:val="19"/>
        </w:rPr>
        <w:t xml:space="preserve"> Wills Act 1837 s.9 — signed by the testator, in the presence of two witnesses present at the same time, each of whom then signs in her presence. The temporary allowance for video witnessing ended 31 January 2024.</w:t>
      </w:r>
    </w:p>
    <w:p>
      <w:pPr>
        <w:pStyle w:val="Heading3"/>
        <w:spacing w:after="100" w:before="220"/>
      </w:pPr>
      <w:r>
        <w:rPr>
          <w:b/>
          <w:bCs/>
          <w:color w:val="2A2D32"/>
          <w:sz w:val="21"/>
          <w:szCs w:val="21"/>
        </w:rPr>
        <w:t xml:space="preserve">Testator's signature</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of testator: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Date signed: </w:t>
            </w:r>
            <w:r>
              <w:rPr>
                <w:color w:val="999999"/>
                <w:sz w:val="21"/>
                <w:szCs w:val="21"/>
              </w:rPr>
              <w:t xml:space="preserve">______________________________________</w:t>
            </w:r>
          </w:p>
        </w:tc>
      </w:tr>
    </w:tbl>
    <w:p>
      <w:pPr>
        <w:pStyle w:val="Heading3"/>
        <w:spacing w:after="100" w:before="260"/>
      </w:pPr>
      <w:r>
        <w:rPr>
          <w:b/>
          <w:bCs/>
          <w:color w:val="2A2D32"/>
          <w:sz w:val="21"/>
          <w:szCs w:val="21"/>
        </w:rPr>
        <w:t xml:space="preserve">Witness 1</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60"/>
      </w:pP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pStyle w:val="Heading3"/>
        <w:spacing w:after="100" w:before="260"/>
      </w:pPr>
      <w:r>
        <w:rPr>
          <w:b/>
          <w:bCs/>
          <w:color w:val="2A2D32"/>
          <w:sz w:val="21"/>
          <w:szCs w:val="21"/>
        </w:rPr>
        <w:t xml:space="preserve">Witness 2 — present at the same time as Witness 1</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60"/>
      </w:pP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spacing w:after="140"/>
      </w:pPr>
    </w:p>
    <w:p>
      <w:pPr>
        <w:spacing w:after="200"/>
      </w:pPr>
      <w:r>
        <w:rPr>
          <w:i/>
          <w:iCs/>
          <w:color w:val="6A6E73"/>
          <w:sz w:val="18"/>
          <w:szCs w:val="18"/>
        </w:rPr>
        <w:t xml:space="preserve">Witnesses are shown here as placeholders — a neighbour, a colleague, anyone independent. This pack does not imply any particular person should be asked.</w:t>
      </w: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Who must not witness this will</w:t>
            </w:r>
          </w:p>
          <w:p>
            <w:r>
              <w:rPr>
                <w:i w:val="false"/>
                <w:iCs w:val="false"/>
                <w:color w:val="2A2D32"/>
                <w:sz w:val="20"/>
                <w:szCs w:val="20"/>
              </w:rPr>
              <w:t xml:space="preserve">Ellie, Priya and Jack — and their husbands, wives or civil partners — must not witness this will; each is given something under it. Callum could, in law, because he receives nothing under it — this pack notes that and does not recommend it.</w:t>
            </w:r>
          </w:p>
        </w:tc>
      </w:tr>
    </w:tbl>
    <w:p>
      <w:pPr>
        <w:pStyle w:val="Heading3"/>
        <w:spacing w:after="120" w:before="300"/>
      </w:pPr>
      <w:r>
        <w:rPr>
          <w:b/>
          <w:bCs/>
          <w:color w:val="2A2D32"/>
          <w:sz w:val="22"/>
          <w:szCs w:val="22"/>
        </w:rPr>
        <w:t xml:space="preserve">What this will does not cover</w:t>
      </w:r>
    </w:p>
    <w:p>
      <w:pPr>
        <w:spacing w:after="120"/>
        <w:ind w:left="260" w:hanging="200"/>
      </w:pPr>
      <w:r>
        <w:rPr>
          <w:b/>
          <w:bCs/>
          <w:color w:val="B0764A"/>
          <w:sz w:val="19"/>
          <w:szCs w:val="19"/>
        </w:rPr>
        <w:t xml:space="preserve">•  </w:t>
      </w:r>
      <w:r>
        <w:rPr>
          <w:i w:val="false"/>
          <w:iCs w:val="false"/>
          <w:color w:val="2A2D32"/>
          <w:sz w:val="19"/>
          <w:szCs w:val="19"/>
        </w:rPr>
        <w:t xml:space="preserve">A cohabiting partner (no automatic right on intestacy; would need naming — s.46 lists spouse, children, parents, siblings, never a partner; a cohabitant of two years may apply under the 1975 Act s.1(1)(ba) and (1A), a court claim, not an inheritance).</w:t>
      </w:r>
    </w:p>
    <w:p>
      <w:pPr>
        <w:spacing w:after="120"/>
        <w:ind w:left="260" w:hanging="200"/>
      </w:pPr>
      <w:r>
        <w:rPr>
          <w:b/>
          <w:bCs/>
          <w:color w:val="B0764A"/>
          <w:sz w:val="19"/>
          <w:szCs w:val="19"/>
        </w:rPr>
        <w:t xml:space="preserve">•  </w:t>
      </w:r>
      <w:r>
        <w:rPr>
          <w:i w:val="false"/>
          <w:iCs w:val="false"/>
          <w:color w:val="2A2D32"/>
          <w:sz w:val="19"/>
          <w:szCs w:val="19"/>
        </w:rPr>
        <w:t xml:space="preserve">A former spouse or civil partner who has not remarried or re-partnered — unlike a sibling, they stay on the 1975 Act's list of people who may apply (s.1(1)(b)) even after divorce, so the “silence is fine for someone not on the list” reasoning above does not reach them.</w:t>
      </w:r>
    </w:p>
    <w:p>
      <w:pPr>
        <w:spacing w:after="120"/>
        <w:ind w:left="260" w:hanging="200"/>
      </w:pPr>
      <w:r>
        <w:rPr>
          <w:b/>
          <w:bCs/>
          <w:color w:val="B0764A"/>
          <w:sz w:val="19"/>
          <w:szCs w:val="19"/>
        </w:rPr>
        <w:t xml:space="preserve">•  </w:t>
      </w:r>
      <w:r>
        <w:rPr>
          <w:i w:val="false"/>
          <w:iCs w:val="false"/>
          <w:color w:val="2A2D32"/>
          <w:sz w:val="19"/>
          <w:szCs w:val="19"/>
        </w:rPr>
        <w:t xml:space="preserve">A home owned with someone else as beneficial joint tenants — that share passes automatically to the survivor outside the will, whatever it says; sever the joint tenancy first if you want your share to pass under this clause (HM Land Registry form SEV, Practice Guide 24); a share held as tenants in common is different — it is yours to give, and the residue clause disposes of it in the ordinary way.</w:t>
      </w:r>
    </w:p>
    <w:p>
      <w:pPr>
        <w:spacing w:after="120"/>
        <w:ind w:left="260" w:hanging="200"/>
      </w:pPr>
      <w:r>
        <w:rPr>
          <w:b/>
          <w:bCs/>
          <w:color w:val="B0764A"/>
          <w:sz w:val="19"/>
          <w:szCs w:val="19"/>
        </w:rPr>
        <w:t xml:space="preserve">•  </w:t>
      </w:r>
      <w:r>
        <w:rPr>
          <w:i w:val="false"/>
          <w:iCs w:val="false"/>
          <w:color w:val="2A2D32"/>
          <w:sz w:val="19"/>
          <w:szCs w:val="19"/>
        </w:rPr>
        <w:t xml:space="preserve">A business or self-employment.</w:t>
      </w:r>
    </w:p>
    <w:p>
      <w:pPr>
        <w:spacing w:after="120"/>
        <w:ind w:left="260" w:hanging="200"/>
      </w:pPr>
      <w:r>
        <w:rPr>
          <w:b/>
          <w:bCs/>
          <w:color w:val="B0764A"/>
          <w:sz w:val="19"/>
          <w:szCs w:val="19"/>
        </w:rPr>
        <w:t xml:space="preserve">•  </w:t>
      </w:r>
      <w:r>
        <w:rPr>
          <w:i w:val="false"/>
          <w:iCs w:val="false"/>
          <w:color w:val="2A2D32"/>
          <w:sz w:val="19"/>
          <w:szCs w:val="19"/>
        </w:rPr>
        <w:t xml:space="preserve">A dependant who might claim under the 1975 Act.</w:t>
      </w:r>
    </w:p>
    <w:p>
      <w:pPr>
        <w:spacing w:after="120"/>
        <w:ind w:left="260" w:hanging="200"/>
      </w:pPr>
      <w:r>
        <w:rPr>
          <w:b/>
          <w:bCs/>
          <w:color w:val="B0764A"/>
          <w:sz w:val="19"/>
          <w:szCs w:val="19"/>
        </w:rPr>
        <w:t xml:space="preserve">•  </w:t>
      </w:r>
      <w:r>
        <w:rPr>
          <w:i w:val="false"/>
          <w:iCs w:val="false"/>
          <w:color w:val="2A2D32"/>
          <w:sz w:val="19"/>
          <w:szCs w:val="19"/>
        </w:rPr>
        <w:t xml:space="preserve">Foreign property.</w:t>
      </w:r>
    </w:p>
    <w:p>
      <w:r>
        <w:br w:type="page"/>
      </w:r>
    </w:p>
    <w:p>
      <w:pPr>
        <w:pStyle w:val="Heading1"/>
        <w:pBdr>
          <w:bottom w:val="single" w:color="B0764A" w:sz="6" w:space="8"/>
        </w:pBdr>
        <w:spacing w:after="60" w:before="200"/>
      </w:pPr>
      <w:r>
        <w:rPr>
          <w:b/>
          <w:bCs/>
          <w:color w:val="2A2D32"/>
          <w:sz w:val="32"/>
          <w:szCs w:val="32"/>
        </w:rPr>
        <w:t xml:space="preserve">Rachel Hargreave's Will</w:t>
      </w:r>
    </w:p>
    <w:p>
      <w:pPr>
        <w:spacing w:after="200"/>
      </w:pPr>
      <w:r>
        <w:rPr>
          <w:i/>
          <w:iCs/>
          <w:color w:val="6A6E73"/>
          <w:sz w:val="19"/>
          <w:szCs w:val="19"/>
        </w:rPr>
        <w:t xml:space="preserve">Household B — a couple with young children (one will of a mirror pair)</w:t>
      </w:r>
    </w:p>
    <w:p>
      <w:pPr>
        <w:spacing w:after="200"/>
      </w:pPr>
      <w:r>
        <w:rPr>
          <w:color w:val="6A6E73"/>
          <w:sz w:val="21"/>
          <w:szCs w:val="21"/>
        </w:rPr>
        <w:t xml:space="preserve">This is Rachel's will only. Thomas's mirror will exists — same structure, the names and roles reversed, signed and witnessed separately. The complete matched pair, and the rules special to a couple (mutual wills, engagement, separation, the joint home, dying together), are on valoren.uk/resources/mirror-wills-template; this pack does not repeat them beyond what Rachel's own clauses need.</w:t>
      </w:r>
    </w:p>
    <w:p>
      <w:pPr>
        <w:pStyle w:val="Heading3"/>
        <w:spacing w:after="100" w:before="60"/>
      </w:pPr>
      <w:r>
        <w:rPr>
          <w:b/>
          <w:bCs/>
          <w:color w:val="2A2D32"/>
          <w:sz w:val="21"/>
          <w:szCs w:val="21"/>
        </w:rPr>
        <w:t xml:space="preserve">The facts</w:t>
      </w:r>
    </w:p>
    <w:p>
      <w:pPr>
        <w:spacing w:after="160"/>
      </w:pPr>
      <w:r>
        <w:rPr>
          <w:color w:val="2A2D32"/>
          <w:sz w:val="21"/>
          <w:szCs w:val="21"/>
        </w:rPr>
        <w:t xml:space="preserve">Rachel Anne Hargreave, born 3 February 1988, married to Thomas James Hargreave, of 9 Larch Grove, Leeds LS8 3PN. Two children: Freya Hargreave (7) and Oscar Hargreave (4). Home owned as beneficial joint tenants, with a mortgage; a joint current account for household bills. Rachel's sister Charlotte Anne Okoye and her husband Benjamin Kwame Okoye, of 15 Rowan Close, Leeds LS9 4TP, have agreed to be guardians. Will made 15 April 2026.</w:t>
      </w:r>
    </w:p>
    <w:p>
      <w:pPr>
        <w:spacing w:after="260" w:before="40"/>
      </w:pPr>
      <w:r>
        <w:rPr>
          <w:b/>
          <w:bCs/>
          <w:i/>
          <w:iCs/>
          <w:color w:val="6A6E73"/>
          <w:sz w:val="19"/>
          <w:szCs w:val="19"/>
        </w:rPr>
        <w:t xml:space="preserve">Rachel Hargreave is not a real person. Every name, address and figure in this will is invented.</w:t>
      </w:r>
    </w:p>
    <w:p>
      <w:pPr>
        <w:pStyle w:val="Heading2"/>
        <w:spacing w:after="120" w:before="360"/>
      </w:pPr>
      <w:r>
        <w:rPr>
          <w:b/>
          <w:bCs/>
          <w:color w:val="B0764A"/>
          <w:sz w:val="24"/>
          <w:szCs w:val="24"/>
        </w:rPr>
        <w:t xml:space="preserve">Clause 1 · Testator and declaration</w:t>
      </w:r>
    </w:p>
    <w:p>
      <w:pPr>
        <w:pBdr>
          <w:left w:val="single" w:color="D9D5D0" w:sz="8" w:space="8"/>
        </w:pBdr>
        <w:spacing w:after="140"/>
        <w:ind w:left="260"/>
      </w:pPr>
      <w:r>
        <w:rPr>
          <w:i w:val="false"/>
          <w:iCs w:val="false"/>
          <w:color w:val="2A2D32"/>
          <w:sz w:val="21"/>
          <w:szCs w:val="21"/>
        </w:rPr>
        <w:t xml:space="preserve">This is the last will and testament of </w:t>
      </w:r>
      <w:r>
        <w:rPr>
          <w:b/>
          <w:bCs/>
          <w:color w:val="2A2D32"/>
          <w:sz w:val="21"/>
          <w:szCs w:val="21"/>
        </w:rPr>
        <w:t xml:space="preserve">Rachel Anne Hargreave</w:t>
      </w:r>
      <w:r>
        <w:rPr>
          <w:i w:val="false"/>
          <w:iCs w:val="false"/>
          <w:color w:val="2A2D32"/>
          <w:sz w:val="21"/>
          <w:szCs w:val="21"/>
        </w:rPr>
        <w:t xml:space="preserve">, born </w:t>
      </w:r>
      <w:r>
        <w:rPr>
          <w:b/>
          <w:bCs/>
          <w:color w:val="2A2D32"/>
          <w:sz w:val="21"/>
          <w:szCs w:val="21"/>
        </w:rPr>
        <w:t xml:space="preserve">3 February 1988</w:t>
      </w:r>
      <w:r>
        <w:rPr>
          <w:i w:val="false"/>
          <w:iCs w:val="false"/>
          <w:color w:val="2A2D32"/>
          <w:sz w:val="21"/>
          <w:szCs w:val="21"/>
        </w:rPr>
        <w:t xml:space="preserve">, of </w:t>
      </w:r>
      <w:r>
        <w:rPr>
          <w:b/>
          <w:bCs/>
          <w:color w:val="2A2D32"/>
          <w:sz w:val="21"/>
          <w:szCs w:val="21"/>
        </w:rPr>
        <w:t xml:space="preserve">9 Larch Grove, Leeds LS8 3PN</w:t>
      </w:r>
      <w:r>
        <w:rPr>
          <w:i w:val="false"/>
          <w:iCs w:val="false"/>
          <w:color w:val="2A2D32"/>
          <w:sz w:val="21"/>
          <w:szCs w:val="21"/>
        </w:rPr>
        <w:t xml:space="preserve">, made by me on the </w:t>
      </w:r>
      <w:r>
        <w:rPr>
          <w:b/>
          <w:bCs/>
          <w:color w:val="2A2D32"/>
          <w:sz w:val="21"/>
          <w:szCs w:val="21"/>
        </w:rPr>
        <w:t xml:space="preserve">15th</w:t>
      </w:r>
      <w:r>
        <w:rPr>
          <w:i w:val="false"/>
          <w:iCs w:val="false"/>
          <w:color w:val="2A2D32"/>
          <w:sz w:val="21"/>
          <w:szCs w:val="21"/>
        </w:rPr>
        <w:t xml:space="preserve"> day of </w:t>
      </w:r>
      <w:r>
        <w:rPr>
          <w:b/>
          <w:bCs/>
          <w:color w:val="2A2D32"/>
          <w:sz w:val="21"/>
          <w:szCs w:val="21"/>
        </w:rPr>
        <w:t xml:space="preserve">April 2026</w:t>
      </w:r>
      <w:r>
        <w:rPr>
          <w:i w:val="false"/>
          <w:iCs w:val="false"/>
          <w:color w:val="2A2D32"/>
          <w:sz w:val="21"/>
          <w:szCs w:val="21"/>
        </w:rPr>
        <w:t xml:space="preserve">. I declare this to be my last will, and that I am of sound mind and make it freely.</w:t>
      </w:r>
    </w:p>
    <w:p>
      <w:pPr>
        <w:spacing w:after="180"/>
        <w:ind w:left="420"/>
      </w:pPr>
      <w:r>
        <w:rPr>
          <w:i/>
          <w:iCs/>
          <w:color w:val="6A6E73"/>
          <w:sz w:val="19"/>
          <w:szCs w:val="19"/>
        </w:rPr>
        <w:t xml:space="preserve">Why:</w:t>
      </w:r>
      <w:r>
        <w:rPr>
          <w:i/>
          <w:iCs/>
          <w:color w:val="6A6E73"/>
          <w:sz w:val="19"/>
          <w:szCs w:val="19"/>
        </w:rPr>
        <w:t xml:space="preserve"> as Household A — plus the mirror-pair warning: </w:t>
      </w:r>
      <w:r>
        <w:rPr>
          <w:b/>
          <w:bCs/>
          <w:color w:val="6A6E73"/>
          <w:sz w:val="19"/>
          <w:szCs w:val="19"/>
        </w:rPr>
        <w:t xml:space="preserve">before signing, read this name aloud and check it is your own.</w:t>
      </w:r>
      <w:r>
        <w:rPr>
          <w:i/>
          <w:iCs/>
          <w:color w:val="6A6E73"/>
          <w:sz w:val="19"/>
          <w:szCs w:val="19"/>
        </w:rPr>
        <w:t xml:space="preserve"> Rachel's and Thomas's wills look almost identical, and a husband and wife have each signed the other's mirror will by mistake and needed the Supreme Court to put it right (</w:t>
      </w:r>
      <w:r>
        <w:rPr>
          <w:i/>
          <w:iCs/>
          <w:color w:val="6A6E73"/>
          <w:sz w:val="19"/>
          <w:szCs w:val="19"/>
        </w:rPr>
        <w:t xml:space="preserve">Marley v Rawlings</w:t>
      </w:r>
      <w:r>
        <w:rPr>
          <w:i/>
          <w:iCs/>
          <w:color w:val="6A6E73"/>
          <w:sz w:val="19"/>
          <w:szCs w:val="19"/>
        </w:rPr>
        <w:t xml:space="preserve"> [2014] UKSC 2).</w:t>
      </w:r>
    </w:p>
    <w:p>
      <w:pPr>
        <w:pStyle w:val="Heading2"/>
        <w:spacing w:after="120" w:before="360"/>
      </w:pPr>
      <w:r>
        <w:rPr>
          <w:b/>
          <w:bCs/>
          <w:color w:val="B0764A"/>
          <w:sz w:val="24"/>
          <w:szCs w:val="24"/>
        </w:rPr>
        <w:t xml:space="preserve">Clause 2 · Revocation</w:t>
      </w:r>
    </w:p>
    <w:p>
      <w:pPr>
        <w:pBdr>
          <w:left w:val="single" w:color="D9D5D0" w:sz="8" w:space="8"/>
        </w:pBdr>
        <w:spacing w:after="140"/>
        <w:ind w:left="260"/>
      </w:pPr>
      <w:r>
        <w:rPr>
          <w:i w:val="false"/>
          <w:iCs w:val="false"/>
          <w:color w:val="2A2D32"/>
          <w:sz w:val="21"/>
          <w:szCs w:val="21"/>
        </w:rPr>
        <w:t xml:space="preserve">I revoke all earlier wills and codicils made by me.</w:t>
      </w:r>
    </w:p>
    <w:p>
      <w:pPr>
        <w:spacing w:after="180"/>
        <w:ind w:left="420"/>
      </w:pPr>
      <w:r>
        <w:rPr>
          <w:i/>
          <w:iCs/>
          <w:color w:val="6A6E73"/>
          <w:sz w:val="19"/>
          <w:szCs w:val="19"/>
        </w:rPr>
        <w:t xml:space="preserve">Why:</w:t>
      </w:r>
      <w:r>
        <w:rPr>
          <w:i/>
          <w:iCs/>
          <w:color w:val="6A6E73"/>
          <w:sz w:val="19"/>
          <w:szCs w:val="19"/>
        </w:rPr>
        <w:t xml:space="preserve"> Rachel and Thomas made these wills on the same day, but each will revokes only that testator's earlier wills — Thomas's will has its own identical Clause 2.</w:t>
      </w:r>
    </w:p>
    <w:p>
      <w:pPr>
        <w:pStyle w:val="Heading2"/>
        <w:spacing w:after="120" w:before="360"/>
      </w:pPr>
      <w:r>
        <w:rPr>
          <w:b/>
          <w:bCs/>
          <w:color w:val="B0764A"/>
          <w:sz w:val="24"/>
          <w:szCs w:val="24"/>
        </w:rPr>
        <w:t xml:space="preserve">Clause 3 · Appointment of executors</w:t>
      </w:r>
    </w:p>
    <w:p>
      <w:pPr>
        <w:pBdr>
          <w:left w:val="single" w:color="D9D5D0" w:sz="8" w:space="8"/>
        </w:pBdr>
        <w:spacing w:after="140"/>
        <w:ind w:left="260"/>
      </w:pPr>
      <w:r>
        <w:rPr>
          <w:i w:val="false"/>
          <w:iCs w:val="false"/>
          <w:color w:val="2A2D32"/>
          <w:sz w:val="21"/>
          <w:szCs w:val="21"/>
        </w:rPr>
        <w:t xml:space="preserve">I appoint my husband, </w:t>
      </w:r>
      <w:r>
        <w:rPr>
          <w:b/>
          <w:bCs/>
          <w:color w:val="2A2D32"/>
          <w:sz w:val="21"/>
          <w:szCs w:val="21"/>
        </w:rPr>
        <w:t xml:space="preserve">Thomas James Hargreave</w:t>
      </w:r>
      <w:r>
        <w:rPr>
          <w:i w:val="false"/>
          <w:iCs w:val="false"/>
          <w:color w:val="2A2D32"/>
          <w:sz w:val="21"/>
          <w:szCs w:val="21"/>
        </w:rPr>
        <w:t xml:space="preserve">, of </w:t>
      </w:r>
      <w:r>
        <w:rPr>
          <w:b/>
          <w:bCs/>
          <w:color w:val="2A2D32"/>
          <w:sz w:val="21"/>
          <w:szCs w:val="21"/>
        </w:rPr>
        <w:t xml:space="preserve">9 Larch Grove, Leeds LS8 3PN</w:t>
      </w:r>
      <w:r>
        <w:rPr>
          <w:i w:val="false"/>
          <w:iCs w:val="false"/>
          <w:color w:val="2A2D32"/>
          <w:sz w:val="21"/>
          <w:szCs w:val="21"/>
        </w:rPr>
        <w:t xml:space="preserve">, to be the executor and trustee of my will. If he is unable or unwilling to act, or does not survive me by 28 days, I appoint my sister, </w:t>
      </w:r>
      <w:r>
        <w:rPr>
          <w:b/>
          <w:bCs/>
          <w:color w:val="2A2D32"/>
          <w:sz w:val="21"/>
          <w:szCs w:val="21"/>
        </w:rPr>
        <w:t xml:space="preserve">Charlotte Anne Okoye</w:t>
      </w:r>
      <w:r>
        <w:rPr>
          <w:i w:val="false"/>
          <w:iCs w:val="false"/>
          <w:color w:val="2A2D32"/>
          <w:sz w:val="21"/>
          <w:szCs w:val="21"/>
        </w:rPr>
        <w:t xml:space="preserve">, and her husband, </w:t>
      </w:r>
      <w:r>
        <w:rPr>
          <w:b/>
          <w:bCs/>
          <w:color w:val="2A2D32"/>
          <w:sz w:val="21"/>
          <w:szCs w:val="21"/>
        </w:rPr>
        <w:t xml:space="preserve">Benjamin Kwame Okoye</w:t>
      </w:r>
      <w:r>
        <w:rPr>
          <w:i w:val="false"/>
          <w:iCs w:val="false"/>
          <w:color w:val="2A2D32"/>
          <w:sz w:val="21"/>
          <w:szCs w:val="21"/>
        </w:rPr>
        <w:t xml:space="preserve">, both of </w:t>
      </w:r>
      <w:r>
        <w:rPr>
          <w:b/>
          <w:bCs/>
          <w:color w:val="2A2D32"/>
          <w:sz w:val="21"/>
          <w:szCs w:val="21"/>
        </w:rPr>
        <w:t xml:space="preserve">15 Rowan Close, Leeds LS9 4TP</w:t>
      </w:r>
      <w:r>
        <w:rPr>
          <w:i w:val="false"/>
          <w:iCs w:val="false"/>
          <w:color w:val="2A2D32"/>
          <w:sz w:val="21"/>
          <w:szCs w:val="21"/>
        </w:rPr>
        <w:t xml:space="preserve">, to be the executors and trustees of my will in his place.</w:t>
      </w:r>
    </w:p>
    <w:p>
      <w:pPr>
        <w:spacing w:after="180"/>
        <w:ind w:left="420"/>
      </w:pPr>
      <w:r>
        <w:rPr>
          <w:i/>
          <w:iCs/>
          <w:color w:val="6A6E73"/>
          <w:sz w:val="19"/>
          <w:szCs w:val="19"/>
        </w:rPr>
        <w:t xml:space="preserve">Why:</w:t>
      </w:r>
      <w:r>
        <w:rPr>
          <w:i/>
          <w:iCs/>
          <w:color w:val="6A6E73"/>
          <w:sz w:val="19"/>
          <w:szCs w:val="19"/>
        </w:rPr>
        <w:t xml:space="preserve"> naming each other is the ordinary choice for a married couple; the clause most often operates after Thomas has already died, which is why the substitute matters. </w:t>
      </w:r>
      <w:r>
        <w:rPr>
          <w:b/>
          <w:bCs/>
          <w:color w:val="6A6E73"/>
          <w:sz w:val="19"/>
          <w:szCs w:val="19"/>
        </w:rPr>
        <w:t xml:space="preserve">The substitute is two people acting jointly, deliberately:</w:t>
      </w:r>
      <w:r>
        <w:rPr>
          <w:i/>
          <w:iCs/>
          <w:color w:val="6A6E73"/>
          <w:sz w:val="19"/>
          <w:szCs w:val="19"/>
        </w:rPr>
        <w:t xml:space="preserve"> if this clause is ever needed, both parents are gone and the estate includes the family home, held on trust for the children until they are 18. A sole trustee cannot give a valid receipt for the proceeds when land held on trust is sold — Trustee Act 1925 s.14(2) requires two trustees or a trust corporation — so a will naming one substitute forces that person to appoint a second at the worst possible time. Name the same substitutes in both mirror wills.</w:t>
      </w:r>
    </w:p>
    <w:p>
      <w:pPr>
        <w:pStyle w:val="Heading2"/>
        <w:spacing w:after="120" w:before="360"/>
      </w:pPr>
      <w:r>
        <w:rPr>
          <w:b/>
          <w:bCs/>
          <w:color w:val="B0764A"/>
          <w:sz w:val="24"/>
          <w:szCs w:val="24"/>
        </w:rPr>
        <w:t xml:space="preserve">Clause 4 · Appointment of guardians</w:t>
      </w:r>
    </w:p>
    <w:p>
      <w:pPr>
        <w:pBdr>
          <w:left w:val="single" w:color="D9D5D0" w:sz="8" w:space="8"/>
        </w:pBdr>
        <w:spacing w:after="140"/>
        <w:ind w:left="260"/>
      </w:pPr>
      <w:r>
        <w:rPr>
          <w:i w:val="false"/>
          <w:iCs w:val="false"/>
          <w:color w:val="2A2D32"/>
          <w:sz w:val="21"/>
          <w:szCs w:val="21"/>
        </w:rPr>
        <w:t xml:space="preserve">If on my death any of my children are under 18 and have no other surviving parent with </w:t>
      </w:r>
      <w:r>
        <w:rPr>
          <w:b/>
          <w:bCs/>
          <w:color w:val="2A2D32"/>
          <w:sz w:val="21"/>
          <w:szCs w:val="21"/>
        </w:rPr>
        <w:t xml:space="preserve">parental responsibility</w:t>
      </w:r>
      <w:r>
        <w:rPr>
          <w:i w:val="false"/>
          <w:iCs w:val="false"/>
          <w:color w:val="2A2D32"/>
          <w:sz w:val="21"/>
          <w:szCs w:val="21"/>
        </w:rPr>
        <w:t xml:space="preserve">, I appoint my sister, </w:t>
      </w:r>
      <w:r>
        <w:rPr>
          <w:b/>
          <w:bCs/>
          <w:color w:val="2A2D32"/>
          <w:sz w:val="21"/>
          <w:szCs w:val="21"/>
        </w:rPr>
        <w:t xml:space="preserve">Charlotte Anne Okoye</w:t>
      </w:r>
      <w:r>
        <w:rPr>
          <w:i w:val="false"/>
          <w:iCs w:val="false"/>
          <w:color w:val="2A2D32"/>
          <w:sz w:val="21"/>
          <w:szCs w:val="21"/>
        </w:rPr>
        <w:t xml:space="preserve">, and her husband, </w:t>
      </w:r>
      <w:r>
        <w:rPr>
          <w:b/>
          <w:bCs/>
          <w:color w:val="2A2D32"/>
          <w:sz w:val="21"/>
          <w:szCs w:val="21"/>
        </w:rPr>
        <w:t xml:space="preserve">Benjamin Kwame Okoye</w:t>
      </w:r>
      <w:r>
        <w:rPr>
          <w:i w:val="false"/>
          <w:iCs w:val="false"/>
          <w:color w:val="2A2D32"/>
          <w:sz w:val="21"/>
          <w:szCs w:val="21"/>
        </w:rPr>
        <w:t xml:space="preserve">, both of </w:t>
      </w:r>
      <w:r>
        <w:rPr>
          <w:b/>
          <w:bCs/>
          <w:color w:val="2A2D32"/>
          <w:sz w:val="21"/>
          <w:szCs w:val="21"/>
        </w:rPr>
        <w:t xml:space="preserve">15 Rowan Close, Leeds LS9 4TP</w:t>
      </w:r>
      <w:r>
        <w:rPr>
          <w:i w:val="false"/>
          <w:iCs w:val="false"/>
          <w:color w:val="2A2D32"/>
          <w:sz w:val="21"/>
          <w:szCs w:val="21"/>
        </w:rPr>
        <w:t xml:space="preserve">, to be their guardians.</w:t>
      </w:r>
    </w:p>
    <w:p>
      <w:pPr>
        <w:spacing w:after="180"/>
        <w:ind w:left="420"/>
      </w:pPr>
      <w:r>
        <w:rPr>
          <w:i/>
          <w:iCs/>
          <w:color w:val="6A6E73"/>
          <w:sz w:val="19"/>
          <w:szCs w:val="19"/>
        </w:rPr>
        <w:t xml:space="preserve">Why:</w:t>
      </w:r>
      <w:r>
        <w:rPr>
          <w:i/>
          <w:iCs/>
          <w:color w:val="6A6E73"/>
          <w:sz w:val="19"/>
          <w:szCs w:val="19"/>
        </w:rPr>
        <w:t xml:space="preserve"> Children Act 1989 s.5 lets a parent with parental responsibility appoint a guardian by will; the appointment takes effect only once no parent with parental responsibility is left — for Rachel and Thomas, once both have died. It assumes both are the children's legal parents with parental responsibility and no child arrangements (“lives with”) order is in force (s.5(7)–(9)); a step-parent without parental responsibility cannot appoint a guardian for the other parent's children this way (s.5(3)). Name the </w:t>
      </w:r>
      <w:r>
        <w:rPr>
          <w:b/>
          <w:bCs/>
          <w:color w:val="6A6E73"/>
          <w:sz w:val="19"/>
          <w:szCs w:val="19"/>
        </w:rPr>
        <w:t xml:space="preserve">same</w:t>
      </w:r>
      <w:r>
        <w:rPr>
          <w:i/>
          <w:iCs/>
          <w:color w:val="6A6E73"/>
          <w:sz w:val="19"/>
          <w:szCs w:val="19"/>
        </w:rPr>
        <w:t xml:space="preserve"> guardians in both mirror wills, and ask them first.</w:t>
      </w:r>
    </w:p>
    <w:p>
      <w:pPr>
        <w:pStyle w:val="Heading2"/>
        <w:spacing w:after="120" w:before="360"/>
      </w:pPr>
      <w:r>
        <w:rPr>
          <w:b/>
          <w:bCs/>
          <w:color w:val="B0764A"/>
          <w:sz w:val="24"/>
          <w:szCs w:val="24"/>
        </w:rPr>
        <w:t xml:space="preserve">Clause 5 · Specific gifts</w:t>
      </w:r>
    </w:p>
    <w:p>
      <w:pPr>
        <w:pBdr>
          <w:left w:val="single" w:color="D9D5D0" w:sz="8" w:space="8"/>
        </w:pBdr>
        <w:spacing w:after="140"/>
        <w:ind w:left="260"/>
      </w:pPr>
      <w:r>
        <w:rPr>
          <w:i w:val="false"/>
          <w:iCs w:val="false"/>
          <w:color w:val="2A2D32"/>
          <w:sz w:val="21"/>
          <w:szCs w:val="21"/>
        </w:rPr>
        <w:t xml:space="preserve">I give the following specific gifts, free of tax, to the people and organisations named. Each gift fails if the person dies before me, unless I say otherwise:
(a) my engagement ring, to my daughter, </w:t>
      </w:r>
      <w:r>
        <w:rPr>
          <w:b/>
          <w:bCs/>
          <w:color w:val="2A2D32"/>
          <w:sz w:val="21"/>
          <w:szCs w:val="21"/>
        </w:rPr>
        <w:t xml:space="preserve">Freya Hargreave</w:t>
      </w:r>
      <w:r>
        <w:rPr>
          <w:i w:val="false"/>
          <w:iCs w:val="false"/>
          <w:color w:val="2A2D32"/>
          <w:sz w:val="21"/>
          <w:szCs w:val="21"/>
        </w:rPr>
        <w:t xml:space="preserve">;
(b) </w:t>
      </w:r>
      <w:r>
        <w:rPr>
          <w:b/>
          <w:bCs/>
          <w:color w:val="2A2D32"/>
          <w:sz w:val="21"/>
          <w:szCs w:val="21"/>
        </w:rPr>
        <w:t xml:space="preserve">£1,000</w:t>
      </w:r>
      <w:r>
        <w:rPr>
          <w:i w:val="false"/>
          <w:iCs w:val="false"/>
          <w:color w:val="2A2D32"/>
          <w:sz w:val="21"/>
          <w:szCs w:val="21"/>
        </w:rPr>
        <w:t xml:space="preserve"> to </w:t>
      </w:r>
      <w:r>
        <w:rPr>
          <w:b/>
          <w:bCs/>
          <w:color w:val="2A2D32"/>
          <w:sz w:val="21"/>
          <w:szCs w:val="21"/>
        </w:rPr>
        <w:t xml:space="preserve">Great Ormond Street Hospital Children's Charity</w:t>
      </w:r>
      <w:r>
        <w:rPr>
          <w:i w:val="false"/>
          <w:iCs w:val="false"/>
          <w:color w:val="2A2D32"/>
          <w:sz w:val="21"/>
          <w:szCs w:val="21"/>
        </w:rPr>
        <w:t xml:space="preserve"> (registered charity number </w:t>
      </w:r>
      <w:r>
        <w:rPr>
          <w:b/>
          <w:bCs/>
          <w:color w:val="2A2D32"/>
          <w:sz w:val="21"/>
          <w:szCs w:val="21"/>
        </w:rPr>
        <w:t xml:space="preserve">1160024</w:t>
      </w:r>
      <w:r>
        <w:rPr>
          <w:i w:val="false"/>
          <w:iCs w:val="false"/>
          <w:color w:val="2A2D32"/>
          <w:sz w:val="21"/>
          <w:szCs w:val="21"/>
        </w:rPr>
        <w:t xml:space="preserve">).</w:t>
      </w:r>
    </w:p>
    <w:p>
      <w:pPr>
        <w:spacing w:after="180"/>
        <w:ind w:left="420"/>
      </w:pPr>
      <w:r>
        <w:rPr>
          <w:i/>
          <w:iCs/>
          <w:color w:val="6A6E73"/>
          <w:sz w:val="19"/>
          <w:szCs w:val="19"/>
        </w:rPr>
        <w:t xml:space="preserve">Why:</w:t>
      </w:r>
      <w:r>
        <w:rPr>
          <w:i/>
          <w:iCs/>
          <w:color w:val="6A6E73"/>
          <w:sz w:val="19"/>
          <w:szCs w:val="19"/>
        </w:rPr>
        <w:t xml:space="preserve"> a named item to a named person, with no age condition. </w:t>
      </w:r>
      <w:r>
        <w:rPr>
          <w:b/>
          <w:bCs/>
          <w:color w:val="6A6E73"/>
          <w:sz w:val="19"/>
          <w:szCs w:val="19"/>
        </w:rPr>
        <w:t xml:space="preserve">That matters:</w:t>
      </w:r>
      <w:r>
        <w:rPr>
          <w:i/>
          <w:iCs/>
          <w:color w:val="6A6E73"/>
          <w:sz w:val="19"/>
          <w:szCs w:val="19"/>
        </w:rPr>
        <w:t xml:space="preserve"> if Rachel wanted Freya to have the ring at 21 rather than when the estate is wound up, that is no longer a plain specific gift — it is a trust with its own conditions and needs a solicitor. This pack shows the simple version deliberately and says where the line falls. Freya is 7: until she is 18 her executors hold the ring for her (Trustee Act 1925 ss.31–32 give them the powers to look after a minor's share in the meantime). If Freya died before Rachel the ring would fall into residue — the chapeau says so; for a gift to a child, s.33 would otherwise carry it to Freya's own children, which is why “unless I say otherwise” is there. The charity gift: registered name and number, exempt under IHTA 1984 s.23.</w:t>
      </w:r>
    </w:p>
    <w:p>
      <w:pPr>
        <w:pStyle w:val="Heading2"/>
        <w:spacing w:after="120" w:before="360"/>
      </w:pPr>
      <w:r>
        <w:rPr>
          <w:b/>
          <w:bCs/>
          <w:color w:val="B0764A"/>
          <w:sz w:val="24"/>
          <w:szCs w:val="24"/>
        </w:rPr>
        <w:t xml:space="preserve">Clause 6 · Gift of residue</w:t>
      </w:r>
    </w:p>
    <w:p>
      <w:pPr>
        <w:pBdr>
          <w:left w:val="single" w:color="D9D5D0" w:sz="8" w:space="8"/>
        </w:pBdr>
        <w:spacing w:after="140"/>
        <w:ind w:left="260"/>
      </w:pPr>
      <w:r>
        <w:rPr>
          <w:i w:val="false"/>
          <w:iCs w:val="false"/>
          <w:color w:val="2A2D32"/>
          <w:sz w:val="21"/>
          <w:szCs w:val="21"/>
        </w:rPr>
        <w:t xml:space="preserve">I give all the rest of my estate, after payment of my debts, funeral and testamentary expenses, and any tax due, to my husband, </w:t>
      </w:r>
      <w:r>
        <w:rPr>
          <w:b/>
          <w:bCs/>
          <w:color w:val="2A2D32"/>
          <w:sz w:val="21"/>
          <w:szCs w:val="21"/>
        </w:rPr>
        <w:t xml:space="preserve">Thomas James Hargreave</w:t>
      </w:r>
      <w:r>
        <w:rPr>
          <w:i w:val="false"/>
          <w:iCs w:val="false"/>
          <w:color w:val="2A2D32"/>
          <w:sz w:val="21"/>
          <w:szCs w:val="21"/>
        </w:rPr>
        <w:t xml:space="preserve">, absolutely, if he survives me by 28 days and is able to take this gift.</w:t>
      </w:r>
    </w:p>
    <w:p>
      <w:pPr>
        <w:pBdr>
          <w:left w:val="single" w:color="D9D5D0" w:sz="8" w:space="8"/>
        </w:pBdr>
        <w:spacing w:after="140"/>
        <w:ind w:left="260"/>
      </w:pPr>
      <w:r>
        <w:rPr>
          <w:i w:val="false"/>
          <w:iCs w:val="false"/>
          <w:color w:val="2A2D32"/>
          <w:sz w:val="21"/>
          <w:szCs w:val="21"/>
        </w:rPr>
        <w:t xml:space="preserve">If he does not survive me by 28 days, or if for any reason this gift to him fails or is void, I give my residuary estate to such of my children, whether born or adopted before or after the date of this will, as survive me by 28 days and are able to take, and if more than one in equal shares absolutely. My children living at the date of this will are </w:t>
      </w:r>
      <w:r>
        <w:rPr>
          <w:b/>
          <w:bCs/>
          <w:color w:val="2A2D32"/>
          <w:sz w:val="21"/>
          <w:szCs w:val="21"/>
        </w:rPr>
        <w:t xml:space="preserve">Freya Hargreave</w:t>
      </w:r>
      <w:r>
        <w:rPr>
          <w:i w:val="false"/>
          <w:iCs w:val="false"/>
          <w:color w:val="2A2D32"/>
          <w:sz w:val="21"/>
          <w:szCs w:val="21"/>
        </w:rPr>
        <w:t xml:space="preserve"> and </w:t>
      </w:r>
      <w:r>
        <w:rPr>
          <w:b/>
          <w:bCs/>
          <w:color w:val="2A2D32"/>
          <w:sz w:val="21"/>
          <w:szCs w:val="21"/>
        </w:rPr>
        <w:t xml:space="preserve">Oscar Hargreave</w:t>
      </w:r>
      <w:r>
        <w:rPr>
          <w:i w:val="false"/>
          <w:iCs w:val="false"/>
          <w:color w:val="2A2D32"/>
          <w:sz w:val="21"/>
          <w:szCs w:val="21"/>
        </w:rPr>
        <w:t xml:space="preserve">. If any child of mine dies before me, or survives me but dies within 28 days of my death, leaving a child or children of their own who survive me by 28 days, that child or those children take, equally between them, the share their parent would have taken, absolutely.</w:t>
      </w:r>
    </w:p>
    <w:p>
      <w:pPr>
        <w:pBdr>
          <w:left w:val="single" w:color="D9D5D0" w:sz="8" w:space="8"/>
        </w:pBdr>
        <w:spacing w:after="140"/>
        <w:ind w:left="260"/>
      </w:pPr>
      <w:r>
        <w:rPr>
          <w:i w:val="false"/>
          <w:iCs w:val="false"/>
          <w:color w:val="2A2D32"/>
          <w:sz w:val="21"/>
          <w:szCs w:val="21"/>
        </w:rPr>
        <w:t xml:space="preserve">If none of my children, and none of their children taking a share under the paragraph above, survives me by 28 days and is able to take, I give my residuary estate to my sister, </w:t>
      </w:r>
      <w:r>
        <w:rPr>
          <w:b/>
          <w:bCs/>
          <w:color w:val="2A2D32"/>
          <w:sz w:val="21"/>
          <w:szCs w:val="21"/>
        </w:rPr>
        <w:t xml:space="preserve">Charlotte Anne Okoye</w:t>
      </w:r>
      <w:r>
        <w:rPr>
          <w:i w:val="false"/>
          <w:iCs w:val="false"/>
          <w:color w:val="2A2D32"/>
          <w:sz w:val="21"/>
          <w:szCs w:val="21"/>
        </w:rPr>
        <w:t xml:space="preserve">, absolutely.</w:t>
      </w:r>
    </w:p>
    <w:p>
      <w:pPr>
        <w:spacing w:after="180"/>
        <w:ind w:left="420"/>
      </w:pPr>
      <w:r>
        <w:rPr>
          <w:i/>
          <w:iCs/>
          <w:color w:val="6A6E73"/>
          <w:sz w:val="19"/>
          <w:szCs w:val="19"/>
        </w:rPr>
        <w:t xml:space="preserve">Why:</w:t>
      </w:r>
      <w:r>
        <w:rPr>
          <w:i/>
          <w:iCs/>
          <w:color w:val="6A6E73"/>
          <w:sz w:val="19"/>
          <w:szCs w:val="19"/>
        </w:rPr>
        <w:t xml:space="preserve"> the 28-day survivorship handles Rachel and Thomas dying together or in close succession (LPA 1925 s.184) and, for a married couple, IHTA 1984 s.18(3) expressly allows a survivorship condition of this length without losing the spouse exemption. “Is able to take” / “fails or is void” carry a void gift down to the children rather than into intestacy. </w:t>
      </w:r>
      <w:r>
        <w:rPr>
          <w:b/>
          <w:bCs/>
          <w:color w:val="6A6E73"/>
          <w:sz w:val="19"/>
          <w:szCs w:val="19"/>
        </w:rPr>
        <w:t xml:space="preserve">The children are an open class</w:t>
      </w:r>
      <w:r>
        <w:rPr>
          <w:i/>
          <w:iCs/>
          <w:color w:val="6A6E73"/>
          <w:sz w:val="19"/>
          <w:szCs w:val="19"/>
        </w:rPr>
        <w:t xml:space="preserve"> — a third child born or adopted after signing is inside the gift with no redraft. A child who survives Rachel but dies within 28 days is treated like one who died first, so their own children still take — further than Wills Act 1837 s.33 goes by default. </w:t>
      </w:r>
      <w:r>
        <w:rPr>
          <w:b/>
          <w:bCs/>
          <w:color w:val="6A6E73"/>
          <w:sz w:val="19"/>
          <w:szCs w:val="19"/>
        </w:rPr>
        <w:t xml:space="preserve">A child under 18 takes at 18;</w:t>
      </w:r>
      <w:r>
        <w:rPr>
          <w:i/>
          <w:iCs/>
          <w:color w:val="6A6E73"/>
          <w:sz w:val="19"/>
          <w:szCs w:val="19"/>
        </w:rPr>
        <w:t xml:space="preserve"> the executors hold the share in the meantime and may use its income for the child's maintenance and education (Trustee Act 1925 s.31) and advance capital early — since 2014, up to the whole share (s.32). Any other age, or any condition, is a trust and needs a solicitor. The final substitute is reached only if the whole family line is gone.</w:t>
      </w:r>
    </w:p>
    <w:p>
      <w:pPr>
        <w:spacing w:after="180"/>
        <w:ind w:left="420"/>
      </w:pPr>
      <w:r>
        <w:rPr>
          <w:i/>
          <w:iCs/>
          <w:color w:val="6A6E73"/>
          <w:sz w:val="19"/>
          <w:szCs w:val="19"/>
        </w:rPr>
        <w:t xml:space="preserve">The house — annotation, not a clause:</w:t>
      </w:r>
      <w:r>
        <w:rPr>
          <w:i/>
          <w:iCs/>
          <w:color w:val="6A6E73"/>
          <w:sz w:val="19"/>
          <w:szCs w:val="19"/>
        </w:rPr>
        <w:t xml:space="preserve"> Rachel and Thomas own their home as </w:t>
      </w:r>
      <w:r>
        <w:rPr>
          <w:b/>
          <w:bCs/>
          <w:color w:val="6A6E73"/>
          <w:sz w:val="19"/>
          <w:szCs w:val="19"/>
        </w:rPr>
        <w:t xml:space="preserve">joint tenants</w:t>
      </w:r>
      <w:r>
        <w:rPr>
          <w:i/>
          <w:iCs/>
          <w:color w:val="6A6E73"/>
          <w:sz w:val="19"/>
          <w:szCs w:val="19"/>
        </w:rPr>
        <w:t xml:space="preserve">, so this clause cannot touch Rachel's share at all — it passes to Thomas automatically, outside the will, the moment she dies. If they ever wanted their shares to go to the children directly (common in a second family) the joint tenancy must be severed in writing while both are alive (HM Land Registry form SEV; Practice Guide 24); a will cannot do it.</w:t>
      </w:r>
    </w:p>
    <w:p>
      <w:pPr>
        <w:spacing w:after="180"/>
        <w:ind w:left="420"/>
      </w:pPr>
      <w:r>
        <w:rPr>
          <w:i/>
          <w:iCs/>
          <w:color w:val="6A6E73"/>
          <w:sz w:val="19"/>
          <w:szCs w:val="19"/>
        </w:rPr>
        <w:t xml:space="preserve">The joint account — annotation:</w:t>
      </w:r>
      <w:r>
        <w:rPr>
          <w:i/>
          <w:iCs/>
          <w:color w:val="6A6E73"/>
          <w:sz w:val="19"/>
          <w:szCs w:val="19"/>
        </w:rPr>
        <w:t xml:space="preserve"> the balance of a genuinely joint account normally passes to the surviving account holder in the same way, outside the will. Check with the bank rather than assume.</w:t>
      </w:r>
    </w:p>
    <w:p>
      <w:pPr>
        <w:spacing w:after="180"/>
        <w:ind w:left="420"/>
      </w:pPr>
      <w:r>
        <w:rPr>
          <w:i/>
          <w:iCs/>
          <w:color w:val="6A6E73"/>
          <w:sz w:val="19"/>
          <w:szCs w:val="19"/>
        </w:rPr>
        <w:t xml:space="preserve">Digital accounts — annotation, never a clause:</w:t>
      </w:r>
      <w:r>
        <w:rPr>
          <w:i/>
          <w:iCs/>
          <w:color w:val="6A6E73"/>
          <w:sz w:val="19"/>
          <w:szCs w:val="19"/>
        </w:rPr>
        <w:t xml:space="preserve"> the executors' authority covers everything Rachel owned, including online banking, the family's photo storage and subscriptions — but </w:t>
      </w:r>
      <w:r>
        <w:rPr>
          <w:b/>
          <w:bCs/>
          <w:color w:val="6A6E73"/>
          <w:sz w:val="19"/>
          <w:szCs w:val="19"/>
        </w:rPr>
        <w:t xml:space="preserve">passwords never go in a will</w:t>
      </w:r>
      <w:r>
        <w:rPr>
          <w:i/>
          <w:iCs/>
          <w:color w:val="6A6E73"/>
          <w:sz w:val="19"/>
          <w:szCs w:val="19"/>
        </w:rPr>
        <w:t xml:space="preserve">: once probate is granted a will is a public document anyone can obtain. Each platform's own terms and “legacy contact” processes govern access; no UK statute overrides them. The Property (Digital Assets etc) Act 2025 (in force 2 December 2025) confirms a digital asset such as a crypto-token can be owned as property — it creates no right of access for an executor. Keep a separate, dated note of accounts and where to find them, and tell your executor where it is.</w:t>
      </w:r>
    </w:p>
    <w:p>
      <w:pPr>
        <w:pStyle w:val="Heading2"/>
        <w:spacing w:after="120" w:before="360"/>
      </w:pPr>
      <w:r>
        <w:rPr>
          <w:b/>
          <w:bCs/>
          <w:color w:val="B0764A"/>
          <w:sz w:val="24"/>
          <w:szCs w:val="24"/>
        </w:rPr>
        <w:t xml:space="preserve">Clause 7 · Attestation</w:t>
      </w:r>
    </w:p>
    <w:p>
      <w:pPr>
        <w:pBdr>
          <w:left w:val="single" w:color="D9D5D0" w:sz="8" w:space="8"/>
        </w:pBdr>
        <w:spacing w:after="140"/>
        <w:ind w:left="260"/>
      </w:pPr>
      <w:r>
        <w:rPr>
          <w:i w:val="false"/>
          <w:iCs w:val="false"/>
          <w:color w:val="2A2D32"/>
          <w:sz w:val="21"/>
          <w:szCs w:val="21"/>
        </w:rPr>
        <w:t xml:space="preserve">Signed by the above-named </w:t>
      </w:r>
      <w:r>
        <w:rPr>
          <w:b/>
          <w:bCs/>
          <w:color w:val="2A2D32"/>
          <w:sz w:val="21"/>
          <w:szCs w:val="21"/>
        </w:rPr>
        <w:t xml:space="preserve">Rachel Anne Hargreave</w:t>
      </w:r>
      <w:r>
        <w:rPr>
          <w:i w:val="false"/>
          <w:iCs w:val="false"/>
          <w:color w:val="2A2D32"/>
          <w:sz w:val="21"/>
          <w:szCs w:val="21"/>
        </w:rPr>
        <w:t xml:space="preserve"> as her last will, in our joint presence, and then by us in hers. We were both present at the same time when the testator signed.</w:t>
      </w:r>
    </w:p>
    <w:p>
      <w:pPr>
        <w:spacing w:after="180"/>
        <w:ind w:left="420"/>
      </w:pPr>
      <w:r>
        <w:rPr>
          <w:i/>
          <w:iCs/>
          <w:color w:val="6A6E73"/>
          <w:sz w:val="19"/>
          <w:szCs w:val="19"/>
        </w:rPr>
        <w:t xml:space="preserve">Why:</w:t>
      </w:r>
      <w:r>
        <w:rPr>
          <w:i/>
          <w:iCs/>
          <w:color w:val="6A6E73"/>
          <w:sz w:val="19"/>
          <w:szCs w:val="19"/>
        </w:rPr>
        <w:t xml:space="preserve"> as Household A's Clause 7 — plus, </w:t>
      </w:r>
      <w:r>
        <w:rPr>
          <w:b/>
          <w:bCs/>
          <w:color w:val="6A6E73"/>
          <w:sz w:val="19"/>
          <w:szCs w:val="19"/>
        </w:rPr>
        <w:t xml:space="preserve">before you sign,</w:t>
      </w:r>
      <w:r>
        <w:rPr>
          <w:i/>
          <w:iCs/>
          <w:color w:val="6A6E73"/>
          <w:sz w:val="19"/>
          <w:szCs w:val="19"/>
        </w:rPr>
        <w:t xml:space="preserve"> the name check from Clause 1: read the name aloud (</w:t>
      </w:r>
      <w:r>
        <w:rPr>
          <w:i/>
          <w:iCs/>
          <w:color w:val="6A6E73"/>
          <w:sz w:val="19"/>
          <w:szCs w:val="19"/>
        </w:rPr>
        <w:t xml:space="preserve">Marley v Rawlings</w:t>
      </w:r>
      <w:r>
        <w:rPr>
          <w:i/>
          <w:iCs/>
          <w:color w:val="6A6E73"/>
          <w:sz w:val="19"/>
          <w:szCs w:val="19"/>
        </w:rPr>
        <w:t xml:space="preserve">).</w:t>
      </w:r>
    </w:p>
    <w:p>
      <w:pPr>
        <w:pStyle w:val="Heading3"/>
        <w:spacing w:after="100" w:before="220"/>
      </w:pPr>
      <w:r>
        <w:rPr>
          <w:b/>
          <w:bCs/>
          <w:color w:val="2A2D32"/>
          <w:sz w:val="21"/>
          <w:szCs w:val="21"/>
        </w:rPr>
        <w:t xml:space="preserve">Testator's signature</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of testator: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Date signed: </w:t>
            </w:r>
            <w:r>
              <w:rPr>
                <w:color w:val="999999"/>
                <w:sz w:val="21"/>
                <w:szCs w:val="21"/>
              </w:rPr>
              <w:t xml:space="preserve">______________________________________</w:t>
            </w:r>
          </w:p>
        </w:tc>
      </w:tr>
    </w:tbl>
    <w:p>
      <w:pPr>
        <w:pStyle w:val="Heading3"/>
        <w:spacing w:after="100" w:before="260"/>
      </w:pPr>
      <w:r>
        <w:rPr>
          <w:b/>
          <w:bCs/>
          <w:color w:val="2A2D32"/>
          <w:sz w:val="21"/>
          <w:szCs w:val="21"/>
        </w:rPr>
        <w:t xml:space="preserve">Witness 1</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60"/>
      </w:pP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pStyle w:val="Heading3"/>
        <w:spacing w:after="100" w:before="260"/>
      </w:pPr>
      <w:r>
        <w:rPr>
          <w:b/>
          <w:bCs/>
          <w:color w:val="2A2D32"/>
          <w:sz w:val="21"/>
          <w:szCs w:val="21"/>
        </w:rPr>
        <w:t xml:space="preserve">Witness 2 — present at the same time as Witness 1</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60"/>
      </w:pP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spacing w:after="140"/>
      </w:pPr>
    </w:p>
    <w:p>
      <w:pPr>
        <w:spacing w:after="200"/>
      </w:pPr>
      <w:r>
        <w:rPr>
          <w:i/>
          <w:iCs/>
          <w:color w:val="6A6E73"/>
          <w:sz w:val="18"/>
          <w:szCs w:val="18"/>
        </w:rPr>
        <w:t xml:space="preserve">Witnesses are shown here as placeholders — a neighbour, a colleague, anyone independent. This pack does not imply any particular person should be asked.</w:t>
      </w: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Who must not witness this will</w:t>
            </w:r>
          </w:p>
          <w:p>
            <w:r>
              <w:rPr>
                <w:i w:val="false"/>
                <w:iCs w:val="false"/>
                <w:color w:val="2A2D32"/>
                <w:sz w:val="20"/>
                <w:szCs w:val="20"/>
              </w:rPr>
              <w:t xml:space="preserve">Not Thomas, not Freya or Oscar, not Charlotte — each is given something under this will, and nor may their husband, wife or civil partner witness it. Not Benjamin either: he takes nothing himself (a substitute executor and guardian is an office, not a gift), but he is Charlotte's husband, and a gift to a witness's spouse is voided exactly like a gift to the witness (Wills Act 1837 s.15).</w:t>
            </w:r>
          </w:p>
        </w:tc>
      </w:tr>
    </w:tbl>
    <w:p>
      <w:pPr>
        <w:pStyle w:val="Heading3"/>
        <w:spacing w:after="120" w:before="300"/>
      </w:pPr>
      <w:r>
        <w:rPr>
          <w:b/>
          <w:bCs/>
          <w:color w:val="2A2D32"/>
          <w:sz w:val="22"/>
          <w:szCs w:val="22"/>
        </w:rPr>
        <w:t xml:space="preserve">What this will does not cover</w:t>
      </w:r>
    </w:p>
    <w:p>
      <w:pPr>
        <w:spacing w:after="120"/>
        <w:ind w:left="260" w:hanging="200"/>
      </w:pPr>
      <w:r>
        <w:rPr>
          <w:b/>
          <w:bCs/>
          <w:color w:val="B0764A"/>
          <w:sz w:val="19"/>
          <w:szCs w:val="19"/>
        </w:rPr>
        <w:t xml:space="preserve">•  </w:t>
      </w:r>
      <w:r>
        <w:rPr>
          <w:i w:val="false"/>
          <w:iCs w:val="false"/>
          <w:color w:val="2A2D32"/>
          <w:sz w:val="19"/>
          <w:szCs w:val="19"/>
        </w:rPr>
        <w:t xml:space="preserve">A co-executor (Charlotte or Benjamin) who dies, loses capacity or moves abroad for more than a year part-way through a long administration — the trust for Freya and Oscar could run over a decade. This clause covers who steps in at the outset, not a vacancy arising later; who continues, and whether a further appointment is needed, depends on the facts at the time and needs advice.</w:t>
      </w:r>
    </w:p>
    <w:p>
      <w:pPr>
        <w:spacing w:after="120"/>
        <w:ind w:left="260" w:hanging="200"/>
      </w:pPr>
      <w:r>
        <w:rPr>
          <w:b/>
          <w:bCs/>
          <w:color w:val="B0764A"/>
          <w:sz w:val="19"/>
          <w:szCs w:val="19"/>
        </w:rPr>
        <w:t xml:space="preserve">•  </w:t>
      </w:r>
      <w:r>
        <w:rPr>
          <w:i w:val="false"/>
          <w:iCs w:val="false"/>
          <w:color w:val="2A2D32"/>
          <w:sz w:val="19"/>
          <w:szCs w:val="19"/>
        </w:rPr>
        <w:t xml:space="preserve">A mutual-wills agreement (these are mirror wills; either may change theirs at any time).</w:t>
      </w:r>
    </w:p>
    <w:p>
      <w:pPr>
        <w:spacing w:after="120"/>
        <w:ind w:left="260" w:hanging="200"/>
      </w:pPr>
      <w:r>
        <w:rPr>
          <w:b/>
          <w:bCs/>
          <w:color w:val="B0764A"/>
          <w:sz w:val="19"/>
          <w:szCs w:val="19"/>
        </w:rPr>
        <w:t xml:space="preserve">•  </w:t>
      </w:r>
      <w:r>
        <w:rPr>
          <w:i w:val="false"/>
          <w:iCs w:val="false"/>
          <w:color w:val="2A2D32"/>
          <w:sz w:val="19"/>
          <w:szCs w:val="19"/>
        </w:rPr>
        <w:t xml:space="preserve">An unmarried couple's tax position (no spouse exemption; no automatic right without a will).</w:t>
      </w:r>
    </w:p>
    <w:p>
      <w:pPr>
        <w:spacing w:after="120"/>
        <w:ind w:left="260" w:hanging="200"/>
      </w:pPr>
      <w:r>
        <w:rPr>
          <w:b/>
          <w:bCs/>
          <w:color w:val="B0764A"/>
          <w:sz w:val="19"/>
          <w:szCs w:val="19"/>
        </w:rPr>
        <w:t xml:space="preserve">•  </w:t>
      </w:r>
      <w:r>
        <w:rPr>
          <w:i w:val="false"/>
          <w:iCs w:val="false"/>
          <w:color w:val="2A2D32"/>
          <w:sz w:val="19"/>
          <w:szCs w:val="19"/>
        </w:rPr>
        <w:t xml:space="preserve">A vulnerable child (a trust, not an outright gift at 18).</w:t>
      </w:r>
    </w:p>
    <w:p>
      <w:pPr>
        <w:spacing w:after="120"/>
        <w:ind w:left="260" w:hanging="200"/>
      </w:pPr>
      <w:r>
        <w:rPr>
          <w:b/>
          <w:bCs/>
          <w:color w:val="B0764A"/>
          <w:sz w:val="19"/>
          <w:szCs w:val="19"/>
        </w:rPr>
        <w:t xml:space="preserve">•  </w:t>
      </w:r>
      <w:r>
        <w:rPr>
          <w:i w:val="false"/>
          <w:iCs w:val="false"/>
          <w:color w:val="2A2D32"/>
          <w:sz w:val="19"/>
          <w:szCs w:val="19"/>
        </w:rPr>
        <w:t xml:space="preserve">Separation without divorce (changes nothing — a new will at once; divorce treats the former spouse as having died, s.18A).</w:t>
      </w:r>
    </w:p>
    <w:p>
      <w:pPr>
        <w:spacing w:after="120"/>
        <w:ind w:left="260" w:hanging="200"/>
      </w:pPr>
      <w:r>
        <w:rPr>
          <w:b/>
          <w:bCs/>
          <w:color w:val="B0764A"/>
          <w:sz w:val="19"/>
          <w:szCs w:val="19"/>
        </w:rPr>
        <w:t xml:space="preserve">•  </w:t>
      </w:r>
      <w:r>
        <w:rPr>
          <w:i w:val="false"/>
          <w:iCs w:val="false"/>
          <w:color w:val="2A2D32"/>
          <w:sz w:val="19"/>
          <w:szCs w:val="19"/>
        </w:rPr>
        <w:t xml:space="preserve">Everything in “Know the limits” on the mirror-wills page.</w:t>
      </w:r>
    </w:p>
    <w:p>
      <w:r>
        <w:br w:type="page"/>
      </w:r>
    </w:p>
    <w:p>
      <w:pPr>
        <w:pStyle w:val="Heading1"/>
        <w:pBdr>
          <w:bottom w:val="single" w:color="B0764A" w:sz="6" w:space="8"/>
        </w:pBdr>
        <w:spacing w:after="60" w:before="200"/>
      </w:pPr>
      <w:r>
        <w:rPr>
          <w:b/>
          <w:bCs/>
          <w:color w:val="2A2D32"/>
          <w:sz w:val="32"/>
          <w:szCs w:val="32"/>
        </w:rPr>
        <w:t xml:space="preserve">Susan Marchant's Will</w:t>
      </w:r>
    </w:p>
    <w:p>
      <w:pPr>
        <w:spacing w:after="200"/>
      </w:pPr>
      <w:r>
        <w:rPr>
          <w:i/>
          <w:iCs/>
          <w:color w:val="6A6E73"/>
          <w:sz w:val="19"/>
          <w:szCs w:val="19"/>
        </w:rPr>
        <w:t xml:space="preserve">Household C — a widow with adult children, a stepson, and a son she is leaving out</w:t>
      </w:r>
    </w:p>
    <w:p>
      <w:pPr>
        <w:pStyle w:val="Heading3"/>
        <w:spacing w:after="100" w:before="60"/>
      </w:pPr>
      <w:r>
        <w:rPr>
          <w:b/>
          <w:bCs/>
          <w:color w:val="2A2D32"/>
          <w:sz w:val="21"/>
          <w:szCs w:val="21"/>
        </w:rPr>
        <w:t xml:space="preserve">The facts</w:t>
      </w:r>
    </w:p>
    <w:p>
      <w:pPr>
        <w:spacing w:after="160"/>
      </w:pPr>
      <w:r>
        <w:rPr>
          <w:color w:val="2A2D32"/>
          <w:sz w:val="21"/>
          <w:szCs w:val="21"/>
        </w:rPr>
        <w:t xml:space="preserve">Susan Patricia Marchant, born 11 May 1955, widow — her husband David Marchant died in 2019; the home they held as joint tenants passed to her then, so she is now sole owner — of 4 Cedar Court, Norwich NR3 1AD. Three adult children: Claire Louise Marchant (46, her daughter, of 18 Linden Grove, Norwich NR2 4AA), Daniel John Whitcombe (48, David's son from his first marriage — Susan raised him from the age of five and he has always called her Mum, but he was never formally adopted — of 71 Mill Lane, Diss IP22 3JB), and Kieran James Marchant (43, her son, estranged for eight years after a family dispute, no contact since). Her friend of forty years is Anne Rosalind Tovey, of 3 Wensum Court, Norwich NR1 4ER. A cat, Bramble. She wants David's watch to go to Daniel, a gift to Marie Curie, and her residue split 60/40 between Claire and Daniel — Claire still has a mortgage, Daniel's is paid off, a reason she has recorded in a letter of wishes but not in the will. She is leaving Kieran nothing. She wants a woodland burial with a humanist service. Will made 12 June 2026.</w:t>
      </w:r>
    </w:p>
    <w:p>
      <w:pPr>
        <w:spacing w:after="260" w:before="40"/>
      </w:pPr>
      <w:r>
        <w:rPr>
          <w:b/>
          <w:bCs/>
          <w:i/>
          <w:iCs/>
          <w:color w:val="6A6E73"/>
          <w:sz w:val="19"/>
          <w:szCs w:val="19"/>
        </w:rPr>
        <w:t xml:space="preserve">Susan Marchant is not a real person. Every name, address and figure in this will is invented.</w:t>
      </w:r>
    </w:p>
    <w:p>
      <w:pPr>
        <w:pStyle w:val="Heading2"/>
        <w:spacing w:after="120" w:before="360"/>
      </w:pPr>
      <w:r>
        <w:rPr>
          <w:b/>
          <w:bCs/>
          <w:color w:val="B0764A"/>
          <w:sz w:val="24"/>
          <w:szCs w:val="24"/>
        </w:rPr>
        <w:t xml:space="preserve">Clause 1 · Testator and declaration</w:t>
      </w:r>
    </w:p>
    <w:p>
      <w:pPr>
        <w:pBdr>
          <w:left w:val="single" w:color="D9D5D0" w:sz="8" w:space="8"/>
        </w:pBdr>
        <w:spacing w:after="140"/>
        <w:ind w:left="260"/>
      </w:pPr>
      <w:r>
        <w:rPr>
          <w:i w:val="false"/>
          <w:iCs w:val="false"/>
          <w:color w:val="2A2D32"/>
          <w:sz w:val="21"/>
          <w:szCs w:val="21"/>
        </w:rPr>
        <w:t xml:space="preserve">This is the last will and testament of </w:t>
      </w:r>
      <w:r>
        <w:rPr>
          <w:b/>
          <w:bCs/>
          <w:color w:val="2A2D32"/>
          <w:sz w:val="21"/>
          <w:szCs w:val="21"/>
        </w:rPr>
        <w:t xml:space="preserve">Susan Patricia Marchant</w:t>
      </w:r>
      <w:r>
        <w:rPr>
          <w:i w:val="false"/>
          <w:iCs w:val="false"/>
          <w:color w:val="2A2D32"/>
          <w:sz w:val="21"/>
          <w:szCs w:val="21"/>
        </w:rPr>
        <w:t xml:space="preserve">, born </w:t>
      </w:r>
      <w:r>
        <w:rPr>
          <w:b/>
          <w:bCs/>
          <w:color w:val="2A2D32"/>
          <w:sz w:val="21"/>
          <w:szCs w:val="21"/>
        </w:rPr>
        <w:t xml:space="preserve">11 May 1955</w:t>
      </w:r>
      <w:r>
        <w:rPr>
          <w:i w:val="false"/>
          <w:iCs w:val="false"/>
          <w:color w:val="2A2D32"/>
          <w:sz w:val="21"/>
          <w:szCs w:val="21"/>
        </w:rPr>
        <w:t xml:space="preserve">, of </w:t>
      </w:r>
      <w:r>
        <w:rPr>
          <w:b/>
          <w:bCs/>
          <w:color w:val="2A2D32"/>
          <w:sz w:val="21"/>
          <w:szCs w:val="21"/>
        </w:rPr>
        <w:t xml:space="preserve">4 Cedar Court, Norwich NR3 1AD</w:t>
      </w:r>
      <w:r>
        <w:rPr>
          <w:i w:val="false"/>
          <w:iCs w:val="false"/>
          <w:color w:val="2A2D32"/>
          <w:sz w:val="21"/>
          <w:szCs w:val="21"/>
        </w:rPr>
        <w:t xml:space="preserve">, made by me on the </w:t>
      </w:r>
      <w:r>
        <w:rPr>
          <w:b/>
          <w:bCs/>
          <w:color w:val="2A2D32"/>
          <w:sz w:val="21"/>
          <w:szCs w:val="21"/>
        </w:rPr>
        <w:t xml:space="preserve">12th</w:t>
      </w:r>
      <w:r>
        <w:rPr>
          <w:i w:val="false"/>
          <w:iCs w:val="false"/>
          <w:color w:val="2A2D32"/>
          <w:sz w:val="21"/>
          <w:szCs w:val="21"/>
        </w:rPr>
        <w:t xml:space="preserve"> day of </w:t>
      </w:r>
      <w:r>
        <w:rPr>
          <w:b/>
          <w:bCs/>
          <w:color w:val="2A2D32"/>
          <w:sz w:val="21"/>
          <w:szCs w:val="21"/>
        </w:rPr>
        <w:t xml:space="preserve">June 2026</w:t>
      </w:r>
      <w:r>
        <w:rPr>
          <w:i w:val="false"/>
          <w:iCs w:val="false"/>
          <w:color w:val="2A2D32"/>
          <w:sz w:val="21"/>
          <w:szCs w:val="21"/>
        </w:rPr>
        <w:t xml:space="preserve">. I declare this to be my last will, and that I am of sound mind and make it freely.</w:t>
      </w:r>
    </w:p>
    <w:p>
      <w:pPr>
        <w:spacing w:after="180"/>
        <w:ind w:left="420"/>
      </w:pPr>
      <w:r>
        <w:rPr>
          <w:i/>
          <w:iCs/>
          <w:color w:val="6A6E73"/>
          <w:sz w:val="19"/>
          <w:szCs w:val="19"/>
        </w:rPr>
        <w:t xml:space="preserve">Why:</w:t>
      </w:r>
      <w:r>
        <w:rPr>
          <w:i/>
          <w:iCs/>
          <w:color w:val="6A6E73"/>
          <w:sz w:val="19"/>
          <w:szCs w:val="19"/>
        </w:rPr>
        <w:t xml:space="preserve"> as before. Capacity turns on the </w:t>
      </w:r>
      <w:r>
        <w:rPr>
          <w:i/>
          <w:iCs/>
          <w:color w:val="6A6E73"/>
          <w:sz w:val="19"/>
          <w:szCs w:val="19"/>
        </w:rPr>
        <w:t xml:space="preserve">Banks v Goodfellow</w:t>
      </w:r>
      <w:r>
        <w:rPr>
          <w:i/>
          <w:iCs/>
          <w:color w:val="6A6E73"/>
          <w:sz w:val="19"/>
          <w:szCs w:val="19"/>
        </w:rPr>
        <w:t xml:space="preserve"> test at the moment of signing, not on age — but a will made later in life, or after illness, is exactly where a short dated note of how the decision was reached, or a solicitor's file note, is harder to challenge than a home-made will's silence. A will that leaves a child out will be read closely; see Clause 6.</w:t>
      </w:r>
    </w:p>
    <w:p>
      <w:pPr>
        <w:pStyle w:val="Heading2"/>
        <w:spacing w:after="120" w:before="360"/>
      </w:pPr>
      <w:r>
        <w:rPr>
          <w:b/>
          <w:bCs/>
          <w:color w:val="B0764A"/>
          <w:sz w:val="24"/>
          <w:szCs w:val="24"/>
        </w:rPr>
        <w:t xml:space="preserve">Clause 2 · Revocation</w:t>
      </w:r>
    </w:p>
    <w:p>
      <w:pPr>
        <w:pBdr>
          <w:left w:val="single" w:color="D9D5D0" w:sz="8" w:space="8"/>
        </w:pBdr>
        <w:spacing w:after="140"/>
        <w:ind w:left="260"/>
      </w:pPr>
      <w:r>
        <w:rPr>
          <w:i w:val="false"/>
          <w:iCs w:val="false"/>
          <w:color w:val="2A2D32"/>
          <w:sz w:val="21"/>
          <w:szCs w:val="21"/>
        </w:rPr>
        <w:t xml:space="preserve">I revoke all earlier wills and codicils made by me.</w:t>
      </w:r>
    </w:p>
    <w:p>
      <w:pPr>
        <w:spacing w:after="180"/>
        <w:ind w:left="420"/>
      </w:pPr>
      <w:r>
        <w:rPr>
          <w:i/>
          <w:iCs/>
          <w:color w:val="6A6E73"/>
          <w:sz w:val="19"/>
          <w:szCs w:val="19"/>
        </w:rPr>
        <w:t xml:space="preserve">Why:</w:t>
      </w:r>
      <w:r>
        <w:rPr>
          <w:i/>
          <w:iCs/>
          <w:color w:val="6A6E73"/>
          <w:sz w:val="19"/>
          <w:szCs w:val="19"/>
        </w:rPr>
        <w:t xml:space="preserve"> Susan and David made mirror wills in 2015. David's did its work in 2019. This clause revokes Susan's own earlier will, which assumed David would still be alive.</w:t>
      </w:r>
    </w:p>
    <w:p>
      <w:pPr>
        <w:pStyle w:val="Heading2"/>
        <w:spacing w:after="120" w:before="360"/>
      </w:pPr>
      <w:r>
        <w:rPr>
          <w:b/>
          <w:bCs/>
          <w:color w:val="B0764A"/>
          <w:sz w:val="24"/>
          <w:szCs w:val="24"/>
        </w:rPr>
        <w:t xml:space="preserve">Clause 3 · Appointment of executors</w:t>
      </w:r>
    </w:p>
    <w:p>
      <w:pPr>
        <w:pBdr>
          <w:left w:val="single" w:color="D9D5D0" w:sz="8" w:space="8"/>
        </w:pBdr>
        <w:spacing w:after="140"/>
        <w:ind w:left="260"/>
      </w:pPr>
      <w:r>
        <w:rPr>
          <w:i w:val="false"/>
          <w:iCs w:val="false"/>
          <w:color w:val="2A2D32"/>
          <w:sz w:val="21"/>
          <w:szCs w:val="21"/>
        </w:rPr>
        <w:t xml:space="preserve">I appoint my daughter, </w:t>
      </w:r>
      <w:r>
        <w:rPr>
          <w:b/>
          <w:bCs/>
          <w:color w:val="2A2D32"/>
          <w:sz w:val="21"/>
          <w:szCs w:val="21"/>
        </w:rPr>
        <w:t xml:space="preserve">Claire Louise Marchant</w:t>
      </w:r>
      <w:r>
        <w:rPr>
          <w:i w:val="false"/>
          <w:iCs w:val="false"/>
          <w:color w:val="2A2D32"/>
          <w:sz w:val="21"/>
          <w:szCs w:val="21"/>
        </w:rPr>
        <w:t xml:space="preserve">, of </w:t>
      </w:r>
      <w:r>
        <w:rPr>
          <w:b/>
          <w:bCs/>
          <w:color w:val="2A2D32"/>
          <w:sz w:val="21"/>
          <w:szCs w:val="21"/>
        </w:rPr>
        <w:t xml:space="preserve">18 Linden Grove, Norwich NR2 4AA</w:t>
      </w:r>
      <w:r>
        <w:rPr>
          <w:i w:val="false"/>
          <w:iCs w:val="false"/>
          <w:color w:val="2A2D32"/>
          <w:sz w:val="21"/>
          <w:szCs w:val="21"/>
        </w:rPr>
        <w:t xml:space="preserve">, and my stepson, </w:t>
      </w:r>
      <w:r>
        <w:rPr>
          <w:b/>
          <w:bCs/>
          <w:color w:val="2A2D32"/>
          <w:sz w:val="21"/>
          <w:szCs w:val="21"/>
        </w:rPr>
        <w:t xml:space="preserve">Daniel John Whitcombe</w:t>
      </w:r>
      <w:r>
        <w:rPr>
          <w:i w:val="false"/>
          <w:iCs w:val="false"/>
          <w:color w:val="2A2D32"/>
          <w:sz w:val="21"/>
          <w:szCs w:val="21"/>
        </w:rPr>
        <w:t xml:space="preserve">, of </w:t>
      </w:r>
      <w:r>
        <w:rPr>
          <w:b/>
          <w:bCs/>
          <w:color w:val="2A2D32"/>
          <w:sz w:val="21"/>
          <w:szCs w:val="21"/>
        </w:rPr>
        <w:t xml:space="preserve">71 Mill Lane, Diss IP22 3JB</w:t>
      </w:r>
      <w:r>
        <w:rPr>
          <w:i w:val="false"/>
          <w:iCs w:val="false"/>
          <w:color w:val="2A2D32"/>
          <w:sz w:val="21"/>
          <w:szCs w:val="21"/>
        </w:rPr>
        <w:t xml:space="preserve">, to be the executors and trustees of my will. If either of them is unable or unwilling to act, or does not survive me by 28 days, I appoint my friend, </w:t>
      </w:r>
      <w:r>
        <w:rPr>
          <w:b/>
          <w:bCs/>
          <w:color w:val="2A2D32"/>
          <w:sz w:val="21"/>
          <w:szCs w:val="21"/>
        </w:rPr>
        <w:t xml:space="preserve">Anne Rosalind Tovey</w:t>
      </w:r>
      <w:r>
        <w:rPr>
          <w:i w:val="false"/>
          <w:iCs w:val="false"/>
          <w:color w:val="2A2D32"/>
          <w:sz w:val="21"/>
          <w:szCs w:val="21"/>
        </w:rPr>
        <w:t xml:space="preserve">, of </w:t>
      </w:r>
      <w:r>
        <w:rPr>
          <w:b/>
          <w:bCs/>
          <w:color w:val="2A2D32"/>
          <w:sz w:val="21"/>
          <w:szCs w:val="21"/>
        </w:rPr>
        <w:t xml:space="preserve">3 Wensum Court, Norwich NR1 4ER</w:t>
      </w:r>
      <w:r>
        <w:rPr>
          <w:i w:val="false"/>
          <w:iCs w:val="false"/>
          <w:color w:val="2A2D32"/>
          <w:sz w:val="21"/>
          <w:szCs w:val="21"/>
        </w:rPr>
        <w:t xml:space="preserve">, to be an executor and trustee of my will jointly with the other of them. If neither of them is able and willing to act, I appoint </w:t>
      </w:r>
      <w:r>
        <w:rPr>
          <w:b/>
          <w:bCs/>
          <w:color w:val="2A2D32"/>
          <w:sz w:val="21"/>
          <w:szCs w:val="21"/>
        </w:rPr>
        <w:t xml:space="preserve">Anne Rosalind Tovey</w:t>
      </w:r>
      <w:r>
        <w:rPr>
          <w:i w:val="false"/>
          <w:iCs w:val="false"/>
          <w:color w:val="2A2D32"/>
          <w:sz w:val="21"/>
          <w:szCs w:val="21"/>
        </w:rPr>
        <w:t xml:space="preserve"> to be the sole executor and trustee of my will.</w:t>
      </w:r>
    </w:p>
    <w:p>
      <w:pPr>
        <w:spacing w:after="180"/>
        <w:ind w:left="420"/>
      </w:pPr>
      <w:r>
        <w:rPr>
          <w:i/>
          <w:iCs/>
          <w:color w:val="6A6E73"/>
          <w:sz w:val="19"/>
          <w:szCs w:val="19"/>
        </w:rPr>
        <w:t xml:space="preserve">Why — joint, not one plus a backup:</w:t>
      </w:r>
      <w:r>
        <w:rPr>
          <w:i/>
          <w:iCs/>
          <w:color w:val="6A6E73"/>
          <w:sz w:val="19"/>
          <w:szCs w:val="19"/>
        </w:rPr>
        <w:t xml:space="preserve"> Claire and Daniel are the two residuary beneficiaries. Naming them jointly means each sees what the other is doing, and it answers a practical rule: dividing a 60/40 residue that includes Susan's home will very likely mean selling it, and a sole trustee cannot give a valid receipt for the proceeds of land — Trustee Act 1925 s.14(2) requires two trustees or a trust corporation. Naming two from the outset avoids Claire discovering, alone and part-way through a sale, that she needs a second trustee.</w:t>
      </w:r>
    </w:p>
    <w:p>
      <w:pPr>
        <w:spacing w:after="180"/>
        <w:ind w:left="420"/>
      </w:pPr>
      <w:r>
        <w:rPr>
          <w:i/>
          <w:iCs/>
          <w:color w:val="6A6E73"/>
          <w:sz w:val="19"/>
          <w:szCs w:val="19"/>
        </w:rPr>
        <w:t xml:space="preserve">Why the substitution is spelt out in two sentences:</w:t>
      </w:r>
      <w:r>
        <w:rPr>
          <w:i/>
          <w:iCs/>
          <w:color w:val="6A6E73"/>
          <w:sz w:val="19"/>
          <w:szCs w:val="19"/>
        </w:rPr>
        <w:t xml:space="preserve"> “in their place” after a joint appointment is ambiguous — does the substitute replace one who drops out, or both? This wording says: one drops out, Anne joins the other; both drop out, Anne acts alone. That covers Claire or Daniel dying within 28 days of Susan, or being unable or unwilling to take up the role at the outset. It does not automatically cover one of them dying, losing capacity, or moving abroad for more than a year once they have taken the grant and the administration is under way — a real possibility if the house sale takes months, as it may. If that happens, who continues and whether a further appointment is needed depends on the facts at the time — ask a solicitor before the sale completes so that the right people are in place.</w:t>
      </w:r>
    </w:p>
    <w:p>
      <w:pPr>
        <w:spacing w:after="180"/>
        <w:ind w:left="420"/>
      </w:pPr>
      <w:r>
        <w:rPr>
          <w:i/>
          <w:iCs/>
          <w:color w:val="6A6E73"/>
          <w:sz w:val="19"/>
          <w:szCs w:val="19"/>
        </w:rPr>
        <w:t xml:space="preserve">Why a friend, and why not Kieran:</w:t>
      </w:r>
      <w:r>
        <w:rPr>
          <w:i/>
          <w:iCs/>
          <w:color w:val="6A6E73"/>
          <w:sz w:val="19"/>
          <w:szCs w:val="19"/>
        </w:rPr>
        <w:t xml:space="preserve"> the obvious lay substitute in this family is the son the will deliberately excludes. Nothing in law bars him — s.15 voids a gift to a witness, not an appointment as executor, and Kieran takes nothing either way — but appointing him over an estate he is excluded from would invite the dispute Clause 6 is written to close. Where there is nobody suitable, a solicitor can be named instead (“the partners at the date of my death in [firm]”), and will charge the estate for the work.</w:t>
      </w:r>
    </w:p>
    <w:p>
      <w:pPr>
        <w:spacing w:after="180"/>
        <w:ind w:left="420"/>
      </w:pPr>
      <w:r>
        <w:rPr>
          <w:i/>
          <w:iCs/>
          <w:color w:val="6A6E73"/>
          <w:sz w:val="19"/>
          <w:szCs w:val="19"/>
        </w:rPr>
        <w:t xml:space="preserve">A stepson as executor</w:t>
      </w:r>
      <w:r>
        <w:rPr>
          <w:i/>
          <w:iCs/>
          <w:color w:val="6A6E73"/>
          <w:sz w:val="19"/>
          <w:szCs w:val="19"/>
        </w:rPr>
        <w:t xml:space="preserve"> needs no special wording — the relationship has no bearing on who may be appointed.</w:t>
      </w:r>
    </w:p>
    <w:p>
      <w:pPr>
        <w:pStyle w:val="Heading2"/>
        <w:spacing w:after="120" w:before="360"/>
      </w:pPr>
      <w:r>
        <w:rPr>
          <w:b/>
          <w:bCs/>
          <w:color w:val="B0764A"/>
          <w:sz w:val="24"/>
          <w:szCs w:val="24"/>
        </w:rPr>
        <w:t xml:space="preserve">Clause 4 · Appointment of guardians</w:t>
      </w:r>
    </w:p>
    <w:p>
      <w:pPr>
        <w:spacing w:after="100"/>
      </w:pPr>
      <w:r>
        <w:rPr>
          <w:b/>
          <w:bCs/>
          <w:i/>
          <w:iCs/>
          <w:color w:val="2A2D32"/>
          <w:sz w:val="21"/>
          <w:szCs w:val="21"/>
        </w:rPr>
        <w:t xml:space="preserve">Omitted.</w:t>
      </w:r>
    </w:p>
    <w:p>
      <w:pPr>
        <w:spacing w:after="180"/>
        <w:ind w:left="420"/>
      </w:pPr>
      <w:r>
        <w:rPr>
          <w:i/>
          <w:iCs/>
          <w:color w:val="6A6E73"/>
          <w:sz w:val="19"/>
          <w:szCs w:val="19"/>
        </w:rPr>
        <w:t xml:space="preserve">Where this clause matters — a testator with children under 18 — see Rachel Hargreave's will, Clause 4, including the step-parent limit on who can appoint. When you copy this will, renumber the clauses that follow so nothing looks missing. Even if a grandchild lived with Susan, a grandmother cannot appoint a guardian by will — only a parent with parental responsibility can, Children Act 1989 s.5(3).</w:t>
      </w:r>
    </w:p>
    <w:p>
      <w:pPr>
        <w:pStyle w:val="Heading2"/>
        <w:spacing w:after="120" w:before="360"/>
      </w:pPr>
      <w:r>
        <w:rPr>
          <w:b/>
          <w:bCs/>
          <w:color w:val="B0764A"/>
          <w:sz w:val="24"/>
          <w:szCs w:val="24"/>
        </w:rPr>
        <w:t xml:space="preserve">Clause 5 · Specific gifts</w:t>
      </w:r>
    </w:p>
    <w:p>
      <w:pPr>
        <w:pBdr>
          <w:left w:val="single" w:color="D9D5D0" w:sz="8" w:space="8"/>
        </w:pBdr>
        <w:spacing w:after="140"/>
        <w:ind w:left="260"/>
      </w:pPr>
      <w:r>
        <w:rPr>
          <w:i w:val="false"/>
          <w:iCs w:val="false"/>
          <w:color w:val="2A2D32"/>
          <w:sz w:val="21"/>
          <w:szCs w:val="21"/>
        </w:rPr>
        <w:t xml:space="preserve">I give the following specific gifts, free of tax, to the people and organisations named. Each gift fails if the person dies before me, unless I say otherwise:
(a) my late husband's wristwatch, to my stepson, </w:t>
      </w:r>
      <w:r>
        <w:rPr>
          <w:b/>
          <w:bCs/>
          <w:color w:val="2A2D32"/>
          <w:sz w:val="21"/>
          <w:szCs w:val="21"/>
        </w:rPr>
        <w:t xml:space="preserve">Daniel John Whitcombe</w:t>
      </w:r>
      <w:r>
        <w:rPr>
          <w:i w:val="false"/>
          <w:iCs w:val="false"/>
          <w:color w:val="2A2D32"/>
          <w:sz w:val="21"/>
          <w:szCs w:val="21"/>
        </w:rPr>
        <w:t xml:space="preserve">;
(b) my cat, Bramble, to my daughter, </w:t>
      </w:r>
      <w:r>
        <w:rPr>
          <w:b/>
          <w:bCs/>
          <w:color w:val="2A2D32"/>
          <w:sz w:val="21"/>
          <w:szCs w:val="21"/>
        </w:rPr>
        <w:t xml:space="preserve">Claire Louise Marchant</w:t>
      </w:r>
      <w:r>
        <w:rPr>
          <w:i w:val="false"/>
          <w:iCs w:val="false"/>
          <w:color w:val="2A2D32"/>
          <w:sz w:val="21"/>
          <w:szCs w:val="21"/>
        </w:rPr>
        <w:t xml:space="preserve">, if she is able and willing to look after her;
(c) </w:t>
      </w:r>
      <w:r>
        <w:rPr>
          <w:b/>
          <w:bCs/>
          <w:color w:val="2A2D32"/>
          <w:sz w:val="21"/>
          <w:szCs w:val="21"/>
        </w:rPr>
        <w:t xml:space="preserve">£500</w:t>
      </w:r>
      <w:r>
        <w:rPr>
          <w:i w:val="false"/>
          <w:iCs w:val="false"/>
          <w:color w:val="2A2D32"/>
          <w:sz w:val="21"/>
          <w:szCs w:val="21"/>
        </w:rPr>
        <w:t xml:space="preserve"> to my daughter, </w:t>
      </w:r>
      <w:r>
        <w:rPr>
          <w:b/>
          <w:bCs/>
          <w:color w:val="2A2D32"/>
          <w:sz w:val="21"/>
          <w:szCs w:val="21"/>
        </w:rPr>
        <w:t xml:space="preserve">Claire Louise Marchant</w:t>
      </w:r>
      <w:r>
        <w:rPr>
          <w:i w:val="false"/>
          <w:iCs w:val="false"/>
          <w:color w:val="2A2D32"/>
          <w:sz w:val="21"/>
          <w:szCs w:val="21"/>
        </w:rPr>
        <w:t xml:space="preserve">, absolutely;
(d) </w:t>
      </w:r>
      <w:r>
        <w:rPr>
          <w:b/>
          <w:bCs/>
          <w:color w:val="2A2D32"/>
          <w:sz w:val="21"/>
          <w:szCs w:val="21"/>
        </w:rPr>
        <w:t xml:space="preserve">£3,000</w:t>
      </w:r>
      <w:r>
        <w:rPr>
          <w:i w:val="false"/>
          <w:iCs w:val="false"/>
          <w:color w:val="2A2D32"/>
          <w:sz w:val="21"/>
          <w:szCs w:val="21"/>
        </w:rPr>
        <w:t xml:space="preserve"> to </w:t>
      </w:r>
      <w:r>
        <w:rPr>
          <w:b/>
          <w:bCs/>
          <w:color w:val="2A2D32"/>
          <w:sz w:val="21"/>
          <w:szCs w:val="21"/>
        </w:rPr>
        <w:t xml:space="preserve">Marie Curie</w:t>
      </w:r>
      <w:r>
        <w:rPr>
          <w:i w:val="false"/>
          <w:iCs w:val="false"/>
          <w:color w:val="2A2D32"/>
          <w:sz w:val="21"/>
          <w:szCs w:val="21"/>
        </w:rPr>
        <w:t xml:space="preserve"> (registered charity number </w:t>
      </w:r>
      <w:r>
        <w:rPr>
          <w:b/>
          <w:bCs/>
          <w:color w:val="2A2D32"/>
          <w:sz w:val="21"/>
          <w:szCs w:val="21"/>
        </w:rPr>
        <w:t xml:space="preserve">207994</w:t>
      </w:r>
      <w:r>
        <w:rPr>
          <w:i w:val="false"/>
          <w:iCs w:val="false"/>
          <w:color w:val="2A2D32"/>
          <w:sz w:val="21"/>
          <w:szCs w:val="21"/>
        </w:rPr>
        <w:t xml:space="preserve">).</w:t>
      </w:r>
    </w:p>
    <w:p>
      <w:pPr>
        <w:spacing w:after="180"/>
        <w:ind w:left="420"/>
      </w:pPr>
      <w:r>
        <w:rPr>
          <w:i/>
          <w:iCs/>
          <w:color w:val="6A6E73"/>
          <w:sz w:val="19"/>
          <w:szCs w:val="19"/>
        </w:rPr>
        <w:t xml:space="preserve">Why — the stepson gift:</w:t>
      </w:r>
      <w:r>
        <w:rPr>
          <w:i/>
          <w:iCs/>
          <w:color w:val="6A6E73"/>
          <w:sz w:val="19"/>
          <w:szCs w:val="19"/>
        </w:rPr>
        <w:t xml:space="preserve"> the same mechanism as any named-person gift; nothing about Daniel being a stepson changes it. As with Rachel's ring to Freya, the chapeau means that if Claire died before Susan, the cat and the £500 would fall into residue rather than pass to Claire's own children under Wills Act 1837 s.33 — “unless I say otherwise” is what switches that off. Where the step-relationship does matter is what would happen </w:t>
      </w:r>
      <w:r>
        <w:rPr>
          <w:b/>
          <w:bCs/>
          <w:color w:val="6A6E73"/>
          <w:sz w:val="19"/>
          <w:szCs w:val="19"/>
        </w:rPr>
        <w:t xml:space="preserve">without</w:t>
      </w:r>
      <w:r>
        <w:rPr>
          <w:i/>
          <w:iCs/>
          <w:color w:val="6A6E73"/>
          <w:sz w:val="19"/>
          <w:szCs w:val="19"/>
        </w:rPr>
        <w:t xml:space="preserve"> a will: a stepchild who was never adopted has no entitlement under the intestacy rules at all (AEA 1925 s.46 sets the order; “issue” there means children and further descendants by birth and — under Adoption and Children Act 2002 s.67 — by adoption; it does not reach a step-child who was never adopted), while Claire and Kieran would take equally. Susan's will is the only thing that gives Daniel anything as of right.</w:t>
      </w:r>
    </w:p>
    <w:p>
      <w:pPr>
        <w:spacing w:after="180"/>
        <w:ind w:left="420"/>
      </w:pPr>
      <w:r>
        <w:rPr>
          <w:i/>
          <w:iCs/>
          <w:color w:val="6A6E73"/>
          <w:sz w:val="19"/>
          <w:szCs w:val="19"/>
        </w:rPr>
        <w:t xml:space="preserve">The pet:</w:t>
      </w:r>
      <w:r>
        <w:rPr>
          <w:i/>
          <w:iCs/>
          <w:color w:val="6A6E73"/>
          <w:sz w:val="19"/>
          <w:szCs w:val="19"/>
        </w:rPr>
        <w:t xml:space="preserve"> the cat and the money are two separate outright gifts to the same person, not one gift with money earmarked “for” the animal — see Household A, Clause 5, for why.</w:t>
      </w:r>
    </w:p>
    <w:p>
      <w:pPr>
        <w:spacing w:after="180"/>
        <w:ind w:left="420"/>
      </w:pPr>
      <w:r>
        <w:rPr>
          <w:i/>
          <w:iCs/>
          <w:color w:val="6A6E73"/>
          <w:sz w:val="19"/>
          <w:szCs w:val="19"/>
        </w:rPr>
        <w:t xml:space="preserve">The charity:</w:t>
      </w:r>
      <w:r>
        <w:rPr>
          <w:i/>
          <w:iCs/>
          <w:color w:val="6A6E73"/>
          <w:sz w:val="19"/>
          <w:szCs w:val="19"/>
        </w:rPr>
        <w:t xml:space="preserve"> registered name and number; exempt under s.23; too small for the 36% rate.</w:t>
      </w:r>
    </w:p>
    <w:p>
      <w:pPr>
        <w:pStyle w:val="Heading2"/>
        <w:spacing w:after="120" w:before="360"/>
      </w:pPr>
      <w:r>
        <w:rPr>
          <w:b/>
          <w:bCs/>
          <w:color w:val="B0764A"/>
          <w:sz w:val="24"/>
          <w:szCs w:val="24"/>
        </w:rPr>
        <w:t xml:space="preserve">Clause 6 · Gift of residue</w:t>
      </w:r>
    </w:p>
    <w:p>
      <w:pPr>
        <w:pBdr>
          <w:left w:val="single" w:color="D9D5D0" w:sz="8" w:space="8"/>
        </w:pBdr>
        <w:spacing w:after="140"/>
        <w:ind w:left="260"/>
      </w:pPr>
      <w:r>
        <w:rPr>
          <w:i w:val="false"/>
          <w:iCs w:val="false"/>
          <w:color w:val="2A2D32"/>
          <w:sz w:val="21"/>
          <w:szCs w:val="21"/>
        </w:rPr>
        <w:t xml:space="preserve">I give all the rest of my estate, after payment of my debts, funeral and testamentary expenses, and any tax due, to my daughter, </w:t>
      </w:r>
      <w:r>
        <w:rPr>
          <w:b/>
          <w:bCs/>
          <w:color w:val="2A2D32"/>
          <w:sz w:val="21"/>
          <w:szCs w:val="21"/>
        </w:rPr>
        <w:t xml:space="preserve">Claire Louise Marchant</w:t>
      </w:r>
      <w:r>
        <w:rPr>
          <w:i w:val="false"/>
          <w:iCs w:val="false"/>
          <w:color w:val="2A2D32"/>
          <w:sz w:val="21"/>
          <w:szCs w:val="21"/>
        </w:rPr>
        <w:t xml:space="preserve">, as to </w:t>
      </w:r>
      <w:r>
        <w:rPr>
          <w:b/>
          <w:bCs/>
          <w:color w:val="2A2D32"/>
          <w:sz w:val="21"/>
          <w:szCs w:val="21"/>
        </w:rPr>
        <w:t xml:space="preserve">60 per cent</w:t>
      </w:r>
      <w:r>
        <w:rPr>
          <w:i w:val="false"/>
          <w:iCs w:val="false"/>
          <w:color w:val="2A2D32"/>
          <w:sz w:val="21"/>
          <w:szCs w:val="21"/>
        </w:rPr>
        <w:t xml:space="preserve">, and to my stepson, </w:t>
      </w:r>
      <w:r>
        <w:rPr>
          <w:b/>
          <w:bCs/>
          <w:color w:val="2A2D32"/>
          <w:sz w:val="21"/>
          <w:szCs w:val="21"/>
        </w:rPr>
        <w:t xml:space="preserve">Daniel John Whitcombe</w:t>
      </w:r>
      <w:r>
        <w:rPr>
          <w:i w:val="false"/>
          <w:iCs w:val="false"/>
          <w:color w:val="2A2D32"/>
          <w:sz w:val="21"/>
          <w:szCs w:val="21"/>
        </w:rPr>
        <w:t xml:space="preserve">, as to </w:t>
      </w:r>
      <w:r>
        <w:rPr>
          <w:b/>
          <w:bCs/>
          <w:color w:val="2A2D32"/>
          <w:sz w:val="21"/>
          <w:szCs w:val="21"/>
        </w:rPr>
        <w:t xml:space="preserve">40 per cent</w:t>
      </w:r>
      <w:r>
        <w:rPr>
          <w:i w:val="false"/>
          <w:iCs w:val="false"/>
          <w:color w:val="2A2D32"/>
          <w:sz w:val="21"/>
          <w:szCs w:val="21"/>
        </w:rPr>
        <w:t xml:space="preserve">, absolutely, provided each of them survives me by 28 days and is able to take that share.</w:t>
      </w:r>
    </w:p>
    <w:p>
      <w:pPr>
        <w:pBdr>
          <w:left w:val="single" w:color="D9D5D0" w:sz="8" w:space="8"/>
        </w:pBdr>
        <w:spacing w:after="140"/>
        <w:ind w:left="260"/>
      </w:pPr>
      <w:r>
        <w:rPr>
          <w:i w:val="false"/>
          <w:iCs w:val="false"/>
          <w:color w:val="2A2D32"/>
          <w:sz w:val="21"/>
          <w:szCs w:val="21"/>
        </w:rPr>
        <w:t xml:space="preserve">If either of them does not survive me by 28 days, or if for any reason their share fails or is void, but they leave a child or children of their own who survive me by 28 days, that child or those children take, equally between them, the share their parent would have taken, absolutely.</w:t>
      </w:r>
    </w:p>
    <w:p>
      <w:pPr>
        <w:pBdr>
          <w:left w:val="single" w:color="D9D5D0" w:sz="8" w:space="8"/>
        </w:pBdr>
        <w:spacing w:after="140"/>
        <w:ind w:left="260"/>
      </w:pPr>
      <w:r>
        <w:rPr>
          <w:i w:val="false"/>
          <w:iCs w:val="false"/>
          <w:color w:val="2A2D32"/>
          <w:sz w:val="21"/>
          <w:szCs w:val="21"/>
        </w:rPr>
        <w:t xml:space="preserve">If either of them does not survive me by 28 days, or their share fails or is void, and no child of theirs takes under the paragraph above, that share passes to the other of them absolutely, if he or she survives me by 28 days and is able to take it; and if the other of them does not survive me by 28 days, or is not able to take it, that share instead passes to </w:t>
      </w:r>
      <w:r>
        <w:rPr>
          <w:b/>
          <w:bCs/>
          <w:color w:val="2A2D32"/>
          <w:sz w:val="21"/>
          <w:szCs w:val="21"/>
        </w:rPr>
        <w:t xml:space="preserve">Marie Curie</w:t>
      </w:r>
      <w:r>
        <w:rPr>
          <w:i w:val="false"/>
          <w:iCs w:val="false"/>
          <w:color w:val="2A2D32"/>
          <w:sz w:val="21"/>
          <w:szCs w:val="21"/>
        </w:rPr>
        <w:t xml:space="preserve"> (registered charity number </w:t>
      </w:r>
      <w:r>
        <w:rPr>
          <w:b/>
          <w:bCs/>
          <w:color w:val="2A2D32"/>
          <w:sz w:val="21"/>
          <w:szCs w:val="21"/>
        </w:rPr>
        <w:t xml:space="preserve">207994</w:t>
      </w:r>
      <w:r>
        <w:rPr>
          <w:i w:val="false"/>
          <w:iCs w:val="false"/>
          <w:color w:val="2A2D32"/>
          <w:sz w:val="21"/>
          <w:szCs w:val="21"/>
        </w:rPr>
        <w:t xml:space="preserve">) absolutely.</w:t>
      </w:r>
    </w:p>
    <w:p>
      <w:pPr>
        <w:pBdr>
          <w:left w:val="single" w:color="D9D5D0" w:sz="8" w:space="8"/>
        </w:pBdr>
        <w:spacing w:after="140"/>
        <w:ind w:left="260"/>
      </w:pPr>
      <w:r>
        <w:rPr>
          <w:i w:val="false"/>
          <w:iCs w:val="false"/>
          <w:color w:val="2A2D32"/>
          <w:sz w:val="21"/>
          <w:szCs w:val="21"/>
        </w:rPr>
        <w:t xml:space="preserve">I have made no provision in this will for my son, </w:t>
      </w:r>
      <w:r>
        <w:rPr>
          <w:b/>
          <w:bCs/>
          <w:color w:val="2A2D32"/>
          <w:sz w:val="21"/>
          <w:szCs w:val="21"/>
        </w:rPr>
        <w:t xml:space="preserve">Kieran James Marchant</w:t>
      </w:r>
      <w:r>
        <w:rPr>
          <w:i w:val="false"/>
          <w:iCs w:val="false"/>
          <w:color w:val="2A2D32"/>
          <w:sz w:val="21"/>
          <w:szCs w:val="21"/>
        </w:rPr>
        <w:t xml:space="preserve">. This is a deliberate decision on my part, made for reasons I have recorded separately, and not an oversight.</w:t>
      </w:r>
    </w:p>
    <w:p>
      <w:pPr>
        <w:spacing w:after="180"/>
        <w:ind w:left="420"/>
      </w:pPr>
      <w:r>
        <w:rPr>
          <w:i/>
          <w:iCs/>
          <w:color w:val="6A6E73"/>
          <w:sz w:val="19"/>
          <w:szCs w:val="19"/>
        </w:rPr>
        <w:t xml:space="preserve">Why — the unequal split:</w:t>
      </w:r>
      <w:r>
        <w:rPr>
          <w:i/>
          <w:iCs/>
          <w:color w:val="6A6E73"/>
          <w:sz w:val="19"/>
          <w:szCs w:val="19"/>
        </w:rPr>
        <w:t xml:space="preserve"> English law places no requirement on how residue is divided; reasons never need to appear in the will and usually should not, because a will becomes a public document at probate. Each share now has its own path if it fails: to that person's children, then to the other of them, then to Marie Curie — so no share can ever fall into intestacy, whatever combination of deaths occurs. Susan's reason (Claire's mortgage) lives in a </w:t>
      </w:r>
      <w:r>
        <w:rPr>
          <w:b/>
          <w:bCs/>
          <w:color w:val="6A6E73"/>
          <w:sz w:val="19"/>
          <w:szCs w:val="19"/>
        </w:rPr>
        <w:t xml:space="preserve">letter of wishes</w:t>
      </w:r>
      <w:r>
        <w:rPr>
          <w:i/>
          <w:iCs/>
          <w:color w:val="6A6E73"/>
          <w:sz w:val="19"/>
          <w:szCs w:val="19"/>
        </w:rPr>
        <w:t xml:space="preserve"> — a private, dated note kept with the will, not part of it, changeable at any time without re-signing anything.</w:t>
      </w:r>
    </w:p>
    <w:p>
      <w:pPr>
        <w:spacing w:after="180"/>
        <w:ind w:left="420"/>
      </w:pPr>
      <w:r>
        <w:rPr>
          <w:i/>
          <w:iCs/>
          <w:color w:val="6A6E73"/>
          <w:sz w:val="19"/>
          <w:szCs w:val="19"/>
        </w:rPr>
        <w:t xml:space="preserve">Why “the share their parent would have taken” is written out:</w:t>
      </w:r>
      <w:r>
        <w:rPr>
          <w:i/>
          <w:iCs/>
          <w:color w:val="6A6E73"/>
          <w:sz w:val="19"/>
          <w:szCs w:val="19"/>
        </w:rPr>
        <w:t xml:space="preserve"> for Claire, Wills Act 1837 s.33 would carry a predeceased child's share to her children by default; for Daniel it would not — s.33 applies only to the testator's own children and descendants, and a stepson is neither. Without this paragraph Daniel's 40% would lapse if he died first, whatever his children needed.</w:t>
      </w:r>
    </w:p>
    <w:p>
      <w:pPr>
        <w:spacing w:after="180"/>
        <w:ind w:left="420"/>
      </w:pPr>
      <w:r>
        <w:rPr>
          <w:i/>
          <w:iCs/>
          <w:color w:val="6A6E73"/>
          <w:sz w:val="19"/>
          <w:szCs w:val="19"/>
        </w:rPr>
        <w:t xml:space="preserve">Why there is a final substitute:</w:t>
      </w:r>
      <w:r>
        <w:rPr>
          <w:i/>
          <w:iCs/>
          <w:color w:val="6A6E73"/>
          <w:sz w:val="19"/>
          <w:szCs w:val="19"/>
        </w:rPr>
        <w:t xml:space="preserve"> “the survivor of them” alone leaves the clause with nowhere to go if both are gone with no children; a charity closes that route.</w:t>
      </w:r>
    </w:p>
    <w:p>
      <w:pPr>
        <w:spacing w:after="180"/>
        <w:ind w:left="420"/>
      </w:pPr>
      <w:r>
        <w:rPr>
          <w:i/>
          <w:iCs/>
          <w:color w:val="6A6E73"/>
          <w:sz w:val="19"/>
          <w:szCs w:val="19"/>
        </w:rPr>
        <w:t xml:space="preserve">Why the exclusion is stated:</w:t>
      </w:r>
      <w:r>
        <w:rPr>
          <w:i/>
          <w:iCs/>
          <w:color w:val="6A6E73"/>
          <w:sz w:val="19"/>
          <w:szCs w:val="19"/>
        </w:rPr>
        <w:t xml:space="preserve"> two choices exist for someone you are leaving nothing to — say nothing (Household A's brother) or name them and say the omission is deliberate. The second is right for a </w:t>
      </w:r>
      <w:r>
        <w:rPr>
          <w:b/>
          <w:bCs/>
          <w:color w:val="6A6E73"/>
          <w:sz w:val="19"/>
          <w:szCs w:val="19"/>
        </w:rPr>
        <w:t xml:space="preserve">child of the deceased</w:t>
      </w:r>
      <w:r>
        <w:rPr>
          <w:i/>
          <w:iCs/>
          <w:color w:val="6A6E73"/>
          <w:sz w:val="19"/>
          <w:szCs w:val="19"/>
        </w:rPr>
        <w:t xml:space="preserve">, because a child, whatever their age and however long estranged, can apply for reasonable financial provision under the Inheritance (Provision for Family and Dependants) Act 1975 s.1(1)(c) — the statute draws no adult or estranged distinction; that lives in s.3 and the cases, above all </w:t>
      </w:r>
      <w:r>
        <w:rPr>
          <w:i/>
          <w:iCs/>
          <w:color w:val="6A6E73"/>
          <w:sz w:val="19"/>
          <w:szCs w:val="19"/>
        </w:rPr>
        <w:t xml:space="preserve">Ilott v The Blue Cross and others</w:t>
      </w:r>
      <w:r>
        <w:rPr>
          <w:i/>
          <w:iCs/>
          <w:color w:val="6A6E73"/>
          <w:sz w:val="19"/>
          <w:szCs w:val="19"/>
        </w:rPr>
        <w:t xml:space="preserve"> [2017] UKSC 17, where the Supreme Court restored a modest award to an estranged adult daughter against a will leaving everything to charities, and made clear how much weight a testator's clear wishes carry. Had Susan instead left Daniel out, he could not have claimed as “a child” under s.1(1)(c) — an unadopted stepson is not her child in that statute's sense — but he could have applied under s.1(1)(d), which covers anyone the deceased treated as a child of the family in relation to a marriage; that is part of why the will provides for him directly rather than leaving it to be tested. A stated exclusion does not stop a claim or guarantee it fails; it removes the argument that Kieran was forgotten, which is the easiest challenge to bring, and the letter of wishes gives the executors the reasons to put before a court. </w:t>
      </w:r>
      <w:r>
        <w:rPr>
          <w:b/>
          <w:bCs/>
          <w:color w:val="6A6E73"/>
          <w:sz w:val="19"/>
          <w:szCs w:val="19"/>
        </w:rPr>
        <w:t xml:space="preserve">If Susan expects Kieran to contest, this is not a step to take on a template alone.</w:t>
      </w:r>
    </w:p>
    <w:p>
      <w:pPr>
        <w:spacing w:after="180"/>
        <w:ind w:left="420"/>
      </w:pPr>
      <w:r>
        <w:rPr>
          <w:i/>
          <w:iCs/>
          <w:color w:val="6A6E73"/>
          <w:sz w:val="19"/>
          <w:szCs w:val="19"/>
        </w:rPr>
        <w:t xml:space="preserve">The home and inheritance tax:</w:t>
      </w:r>
      <w:r>
        <w:rPr>
          <w:i/>
          <w:iCs/>
          <w:color w:val="6A6E73"/>
          <w:sz w:val="19"/>
          <w:szCs w:val="19"/>
        </w:rPr>
        <w:t xml:space="preserve"> the estate has a £325,000 nil-rate band; leaving a home to a child adds up to £175,000 of residence nil-rate band (IHTA 1984 s.8D; tapering above £2 million). For residence nil-rate-band purposes, a stepchild can qualify as a direct descendant: Claire qualifies in her own right, and Daniel as Susan's step-son (IHTA 1984 s.8K(3), read with s.8D and s.8E's “closely inherited” test). It makes no difference that David died before Susan: the step-relationship stands. So the residence nil-rate band is available against the whole of Susan's home, not just Claire's 60% of it, subject to the ordinary conditions on the estate as a whole.</w:t>
      </w:r>
    </w:p>
    <w:p>
      <w:pPr>
        <w:spacing w:after="180"/>
        <w:ind w:left="420"/>
      </w:pPr>
      <w:r>
        <w:rPr>
          <w:i/>
          <w:iCs/>
          <w:color w:val="6A6E73"/>
          <w:sz w:val="19"/>
          <w:szCs w:val="19"/>
        </w:rPr>
        <w:t xml:space="preserve">Funeral wishes — annotation, never a clause:</w:t>
      </w:r>
      <w:r>
        <w:rPr>
          <w:i/>
          <w:iCs/>
          <w:color w:val="6A6E73"/>
          <w:sz w:val="19"/>
          <w:szCs w:val="19"/>
        </w:rPr>
        <w:t xml:space="preserve"> a woodland burial and a humanist service. None of it belongs in the will: a will is often not read until after the funeral, and funeral wishes in a will are not binding on the executor in any case — the executor has the right and the duty to decide how the body is dealt with (</w:t>
      </w:r>
      <w:r>
        <w:rPr>
          <w:i/>
          <w:iCs/>
          <w:color w:val="6A6E73"/>
          <w:sz w:val="19"/>
          <w:szCs w:val="19"/>
        </w:rPr>
        <w:t xml:space="preserve">Williams v Williams</w:t>
      </w:r>
      <w:r>
        <w:rPr>
          <w:i/>
          <w:iCs/>
          <w:color w:val="6A6E73"/>
          <w:sz w:val="19"/>
          <w:szCs w:val="19"/>
        </w:rPr>
        <w:t xml:space="preserve"> (1882) 20 Ch D 659: no property in a corpse; an executor is not bound by the deceased's directions), though in practice executors follow clear wishes they know of in time. The fix is the same as for the 60/40 reasons: a separate, dated letter of wishes, given to family and the executors now.</w:t>
      </w:r>
    </w:p>
    <w:p>
      <w:pPr>
        <w:pStyle w:val="Heading2"/>
        <w:spacing w:after="120" w:before="360"/>
      </w:pPr>
      <w:r>
        <w:rPr>
          <w:b/>
          <w:bCs/>
          <w:color w:val="B0764A"/>
          <w:sz w:val="24"/>
          <w:szCs w:val="24"/>
        </w:rPr>
        <w:t xml:space="preserve">Clause 7 · Attestation</w:t>
      </w:r>
    </w:p>
    <w:p>
      <w:pPr>
        <w:pBdr>
          <w:left w:val="single" w:color="D9D5D0" w:sz="8" w:space="8"/>
        </w:pBdr>
        <w:spacing w:after="140"/>
        <w:ind w:left="260"/>
      </w:pPr>
      <w:r>
        <w:rPr>
          <w:i w:val="false"/>
          <w:iCs w:val="false"/>
          <w:color w:val="2A2D32"/>
          <w:sz w:val="21"/>
          <w:szCs w:val="21"/>
        </w:rPr>
        <w:t xml:space="preserve">Signed by the above-named </w:t>
      </w:r>
      <w:r>
        <w:rPr>
          <w:b/>
          <w:bCs/>
          <w:color w:val="2A2D32"/>
          <w:sz w:val="21"/>
          <w:szCs w:val="21"/>
        </w:rPr>
        <w:t xml:space="preserve">Susan Patricia Marchant</w:t>
      </w:r>
      <w:r>
        <w:rPr>
          <w:i w:val="false"/>
          <w:iCs w:val="false"/>
          <w:color w:val="2A2D32"/>
          <w:sz w:val="21"/>
          <w:szCs w:val="21"/>
        </w:rPr>
        <w:t xml:space="preserve"> as her last will, in our joint presence, and then by us in hers. We were both present at the same time when the testator signed.</w:t>
      </w:r>
    </w:p>
    <w:p>
      <w:pPr>
        <w:spacing w:after="180"/>
        <w:ind w:left="420"/>
      </w:pPr>
      <w:r>
        <w:rPr>
          <w:i/>
          <w:iCs/>
          <w:color w:val="6A6E73"/>
          <w:sz w:val="19"/>
          <w:szCs w:val="19"/>
        </w:rPr>
        <w:t xml:space="preserve">Why:</w:t>
      </w:r>
      <w:r>
        <w:rPr>
          <w:i/>
          <w:iCs/>
          <w:color w:val="6A6E73"/>
          <w:sz w:val="19"/>
          <w:szCs w:val="19"/>
        </w:rPr>
        <w:t xml:space="preserve"> as Household A's Clause 7. Kieran could witness this will, in law, because he takes nothing under it — and should not: asking the one family member deliberately excluded to confirm the will was properly signed invites exactly the suspicion Clause 6 exists to avoid.</w:t>
      </w:r>
    </w:p>
    <w:p>
      <w:pPr>
        <w:pStyle w:val="Heading3"/>
        <w:spacing w:after="100" w:before="220"/>
      </w:pPr>
      <w:r>
        <w:rPr>
          <w:b/>
          <w:bCs/>
          <w:color w:val="2A2D32"/>
          <w:sz w:val="21"/>
          <w:szCs w:val="21"/>
        </w:rPr>
        <w:t xml:space="preserve">Testator's signature</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of testator: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Date signed: </w:t>
            </w:r>
            <w:r>
              <w:rPr>
                <w:color w:val="999999"/>
                <w:sz w:val="21"/>
                <w:szCs w:val="21"/>
              </w:rPr>
              <w:t xml:space="preserve">______________________________________</w:t>
            </w:r>
          </w:p>
        </w:tc>
      </w:tr>
    </w:tbl>
    <w:p>
      <w:pPr>
        <w:pStyle w:val="Heading3"/>
        <w:spacing w:after="100" w:before="260"/>
      </w:pPr>
      <w:r>
        <w:rPr>
          <w:b/>
          <w:bCs/>
          <w:color w:val="2A2D32"/>
          <w:sz w:val="21"/>
          <w:szCs w:val="21"/>
        </w:rPr>
        <w:t xml:space="preserve">Witness 1</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60"/>
      </w:pP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pStyle w:val="Heading3"/>
        <w:spacing w:after="100" w:before="260"/>
      </w:pPr>
      <w:r>
        <w:rPr>
          <w:b/>
          <w:bCs/>
          <w:color w:val="2A2D32"/>
          <w:sz w:val="21"/>
          <w:szCs w:val="21"/>
        </w:rPr>
        <w:t xml:space="preserve">Witness 2 — present at the same time as Witness 1</w:t>
      </w: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Signature: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Full name (print): </w:t>
            </w:r>
            <w:r>
              <w:rPr>
                <w:color w:val="999999"/>
                <w:sz w:val="21"/>
                <w:szCs w:val="21"/>
              </w:rPr>
              <w:t xml:space="preserve">______________________________________</w:t>
            </w:r>
          </w:p>
        </w:tc>
      </w:tr>
    </w:tbl>
    <w:p>
      <w:pPr>
        <w:spacing w:after="60"/>
      </w:pPr>
    </w:p>
    <w:tbl>
      <w:tblPr>
        <w:tblW w:type="dxa" w:w="9506"/>
        <w:tblBorders>
          <w:top w:val="none"/>
          <w:left w:val="none"/>
          <w:bottom w:val="none"/>
          <w:right w:val="none"/>
          <w:insideH w:val="none"/>
          <w:insideV w:val="none"/>
        </w:tblBorders>
      </w:tblPr>
      <w:tblGrid>
        <w:gridCol w:w="4753"/>
        <w:gridCol w:w="4753"/>
      </w:tblGrid>
      <w:tr>
        <w:tc>
          <w:tcPr>
            <w:tcW w:type="dxa" w:w="4753"/>
          </w:tcPr>
          <w:p>
            <w:pPr>
              <w:spacing w:after="160"/>
            </w:pPr>
            <w:r>
              <w:rPr>
                <w:b/>
                <w:bCs/>
                <w:color w:val="2A2D32"/>
                <w:sz w:val="21"/>
                <w:szCs w:val="21"/>
              </w:rPr>
              <w:t xml:space="preserve">Address: </w:t>
            </w:r>
            <w:r>
              <w:rPr>
                <w:color w:val="999999"/>
                <w:sz w:val="21"/>
                <w:szCs w:val="21"/>
              </w:rPr>
              <w:t xml:space="preserve">______________________________________</w:t>
            </w:r>
          </w:p>
        </w:tc>
        <w:tc>
          <w:tcPr>
            <w:tcW w:type="dxa" w:w="4753"/>
          </w:tcPr>
          <w:p>
            <w:pPr>
              <w:spacing w:after="160"/>
            </w:pPr>
            <w:r>
              <w:rPr>
                <w:b/>
                <w:bCs/>
                <w:color w:val="2A2D32"/>
                <w:sz w:val="21"/>
                <w:szCs w:val="21"/>
              </w:rPr>
              <w:t xml:space="preserve">Occupation: </w:t>
            </w:r>
            <w:r>
              <w:rPr>
                <w:color w:val="999999"/>
                <w:sz w:val="21"/>
                <w:szCs w:val="21"/>
              </w:rPr>
              <w:t xml:space="preserve">______________________________________</w:t>
            </w:r>
          </w:p>
        </w:tc>
      </w:tr>
    </w:tbl>
    <w:p>
      <w:pPr>
        <w:spacing w:after="140"/>
      </w:pPr>
    </w:p>
    <w:p>
      <w:pPr>
        <w:spacing w:after="200"/>
      </w:pPr>
      <w:r>
        <w:rPr>
          <w:i/>
          <w:iCs/>
          <w:color w:val="6A6E73"/>
          <w:sz w:val="18"/>
          <w:szCs w:val="18"/>
        </w:rPr>
        <w:t xml:space="preserve">Witnesses are shown here as placeholders — a neighbour, a colleague, anyone independent. This pack does not imply any particular person should be asked.</w:t>
      </w: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Who must not witness this will</w:t>
            </w:r>
          </w:p>
          <w:p>
            <w:r>
              <w:rPr>
                <w:i w:val="false"/>
                <w:iCs w:val="false"/>
                <w:color w:val="2A2D32"/>
                <w:sz w:val="20"/>
                <w:szCs w:val="20"/>
              </w:rPr>
              <w:t xml:space="preserve">Claire, Daniel and Anne — and their spouses or civil partners — must not witness this will (Claire and Daniel inherit; Anne takes nothing, but an executor witnessing invites argument and is avoided).</w:t>
            </w:r>
          </w:p>
        </w:tc>
      </w:tr>
    </w:tbl>
    <w:p>
      <w:pPr>
        <w:pStyle w:val="Heading3"/>
        <w:spacing w:after="120" w:before="300"/>
      </w:pPr>
      <w:r>
        <w:rPr>
          <w:b/>
          <w:bCs/>
          <w:color w:val="2A2D32"/>
          <w:sz w:val="22"/>
          <w:szCs w:val="22"/>
        </w:rPr>
        <w:t xml:space="preserve">What this will does not cover</w:t>
      </w:r>
    </w:p>
    <w:p>
      <w:pPr>
        <w:spacing w:after="120"/>
        <w:ind w:left="260" w:hanging="200"/>
      </w:pPr>
      <w:r>
        <w:rPr>
          <w:b/>
          <w:bCs/>
          <w:color w:val="B0764A"/>
          <w:sz w:val="19"/>
          <w:szCs w:val="19"/>
        </w:rPr>
        <w:t xml:space="preserve">•  </w:t>
      </w:r>
      <w:r>
        <w:rPr>
          <w:i w:val="false"/>
          <w:iCs w:val="false"/>
          <w:color w:val="2A2D32"/>
          <w:sz w:val="19"/>
          <w:szCs w:val="19"/>
        </w:rPr>
        <w:t xml:space="preserve">A co-executor who dies, loses capacity or moves abroad for more than a year part-way through a long administration (the clause covers who steps in at the outset, not a vacancy arising later; who continues, and whether a further appointment is needed, depends on the facts at the time and needs advice).</w:t>
      </w:r>
    </w:p>
    <w:p>
      <w:pPr>
        <w:spacing w:after="120"/>
        <w:ind w:left="260" w:hanging="200"/>
      </w:pPr>
      <w:r>
        <w:rPr>
          <w:b/>
          <w:bCs/>
          <w:color w:val="B0764A"/>
          <w:sz w:val="19"/>
          <w:szCs w:val="19"/>
        </w:rPr>
        <w:t xml:space="preserve">•  </w:t>
      </w:r>
      <w:r>
        <w:rPr>
          <w:i w:val="false"/>
          <w:iCs w:val="false"/>
          <w:color w:val="2A2D32"/>
          <w:sz w:val="19"/>
          <w:szCs w:val="19"/>
        </w:rPr>
        <w:t xml:space="preserve">Excluding a spouse or civil partner the way this will excludes Kieran — a spouse's claim is judged by a wider standard than a child's (1975 Act s.1(2)(a), “whether or not required for maintenance”, against s.1(2)(b)'s maintenance-only test for everyone else); the wording above is written and tested for a child and is not a safe template for a spouse — take advice.</w:t>
      </w:r>
    </w:p>
    <w:p>
      <w:pPr>
        <w:spacing w:after="120"/>
        <w:ind w:left="260" w:hanging="200"/>
      </w:pPr>
      <w:r>
        <w:rPr>
          <w:b/>
          <w:bCs/>
          <w:color w:val="B0764A"/>
          <w:sz w:val="19"/>
          <w:szCs w:val="19"/>
        </w:rPr>
        <w:t xml:space="preserve">•  </w:t>
      </w:r>
      <w:r>
        <w:rPr>
          <w:i w:val="false"/>
          <w:iCs w:val="false"/>
          <w:color w:val="2A2D32"/>
          <w:sz w:val="19"/>
          <w:szCs w:val="19"/>
        </w:rPr>
        <w:t xml:space="preserve">A second marriage or new partner (balancing a spouse against children from an earlier marriage is the commonest source of a 1975 Act claim; a solicitor's document).</w:t>
      </w:r>
    </w:p>
    <w:p>
      <w:pPr>
        <w:spacing w:after="120"/>
        <w:ind w:left="260" w:hanging="200"/>
      </w:pPr>
      <w:r>
        <w:rPr>
          <w:b/>
          <w:bCs/>
          <w:color w:val="B0764A"/>
          <w:sz w:val="19"/>
          <w:szCs w:val="19"/>
        </w:rPr>
        <w:t xml:space="preserve">•  </w:t>
      </w:r>
      <w:r>
        <w:rPr>
          <w:i w:val="false"/>
          <w:iCs w:val="false"/>
          <w:color w:val="2A2D32"/>
          <w:sz w:val="19"/>
          <w:szCs w:val="19"/>
        </w:rPr>
        <w:t xml:space="preserve">A life interest (a partner living in the house for life, capital to the children after).</w:t>
      </w:r>
    </w:p>
    <w:p>
      <w:pPr>
        <w:spacing w:after="120"/>
        <w:ind w:left="260" w:hanging="200"/>
      </w:pPr>
      <w:r>
        <w:rPr>
          <w:b/>
          <w:bCs/>
          <w:color w:val="B0764A"/>
          <w:sz w:val="19"/>
          <w:szCs w:val="19"/>
        </w:rPr>
        <w:t xml:space="preserve">•  </w:t>
      </w:r>
      <w:r>
        <w:rPr>
          <w:i w:val="false"/>
          <w:iCs w:val="false"/>
          <w:color w:val="2A2D32"/>
          <w:sz w:val="19"/>
          <w:szCs w:val="19"/>
        </w:rPr>
        <w:t xml:space="preserve">A disabled or vulnerable grandchild taking under the substitution paragraph (needs a trust).</w:t>
      </w:r>
    </w:p>
    <w:p>
      <w:pPr>
        <w:spacing w:after="120"/>
        <w:ind w:left="260" w:hanging="200"/>
      </w:pPr>
      <w:r>
        <w:rPr>
          <w:b/>
          <w:bCs/>
          <w:color w:val="B0764A"/>
          <w:sz w:val="19"/>
          <w:szCs w:val="19"/>
        </w:rPr>
        <w:t xml:space="preserve">•  </w:t>
      </w:r>
      <w:r>
        <w:rPr>
          <w:i w:val="false"/>
          <w:iCs w:val="false"/>
          <w:color w:val="2A2D32"/>
          <w:sz w:val="19"/>
          <w:szCs w:val="19"/>
        </w:rPr>
        <w:t xml:space="preserve">Business or agricultural assets.</w:t>
      </w:r>
    </w:p>
    <w:p>
      <w:pPr>
        <w:spacing w:after="120"/>
        <w:ind w:left="260" w:hanging="200"/>
      </w:pPr>
      <w:r>
        <w:rPr>
          <w:b/>
          <w:bCs/>
          <w:color w:val="B0764A"/>
          <w:sz w:val="19"/>
          <w:szCs w:val="19"/>
        </w:rPr>
        <w:t xml:space="preserve">•  </w:t>
      </w:r>
      <w:r>
        <w:rPr>
          <w:i w:val="false"/>
          <w:iCs w:val="false"/>
          <w:color w:val="2A2D32"/>
          <w:sz w:val="19"/>
          <w:szCs w:val="19"/>
        </w:rPr>
        <w:t xml:space="preserve">Foreign property.</w:t>
      </w:r>
    </w:p>
    <w:p>
      <w:pPr>
        <w:spacing w:after="120"/>
        <w:ind w:left="260" w:hanging="200"/>
      </w:pPr>
      <w:r>
        <w:rPr>
          <w:b/>
          <w:bCs/>
          <w:color w:val="B0764A"/>
          <w:sz w:val="19"/>
          <w:szCs w:val="19"/>
        </w:rPr>
        <w:t xml:space="preserve">•  </w:t>
      </w:r>
      <w:r>
        <w:rPr>
          <w:i w:val="false"/>
          <w:iCs w:val="false"/>
          <w:color w:val="2A2D32"/>
          <w:sz w:val="19"/>
          <w:szCs w:val="19"/>
        </w:rPr>
        <w:t xml:space="preserve">A real prospect that the excluded son contests the will.</w:t>
      </w:r>
    </w:p>
    <w:p>
      <w:r>
        <w:br w:type="page"/>
      </w:r>
    </w:p>
    <w:p>
      <w:pPr>
        <w:pStyle w:val="Heading1"/>
        <w:pBdr>
          <w:bottom w:val="single" w:color="B0764A" w:sz="6" w:space="8"/>
        </w:pBdr>
        <w:spacing w:after="200" w:before="200"/>
      </w:pPr>
      <w:r>
        <w:rPr>
          <w:b/>
          <w:bCs/>
          <w:color w:val="2A2D32"/>
          <w:sz w:val="32"/>
          <w:szCs w:val="32"/>
        </w:rPr>
        <w:t xml:space="preserve">VI · The Law These Wills Follow</w:t>
      </w:r>
    </w:p>
    <w:p>
      <w:pPr>
        <w:spacing w:after="200"/>
      </w:pPr>
      <w:r>
        <w:rPr>
          <w:color w:val="6A6E73"/>
          <w:sz w:val="21"/>
          <w:szCs w:val="21"/>
        </w:rPr>
        <w:t xml:space="preserve">Every provision below is read exactly as it stands today, 17 September 2026, and applies to England and Wales only.</w:t>
      </w:r>
    </w:p>
    <w:tbl>
      <w:tblPr>
        <w:tblW w:type="dxa" w:w="9506"/>
        <w:tblBorders>
          <w:top w:val="single" w:color="D9D5D0" w:sz="2"/>
          <w:left w:val="single" w:color="D9D5D0" w:sz="2"/>
          <w:bottom w:val="single" w:color="D9D5D0" w:sz="2"/>
          <w:right w:val="single" w:color="D9D5D0" w:sz="2"/>
          <w:insideH w:val="single" w:color="D9D5D0" w:sz="2"/>
          <w:insideV w:val="single" w:color="D9D5D0" w:sz="2"/>
        </w:tblBorders>
      </w:tblPr>
      <w:tblGrid>
        <w:gridCol w:w="1616"/>
        <w:gridCol w:w="3612"/>
        <w:gridCol w:w="2567"/>
        <w:gridCol w:w="1711"/>
      </w:tblGrid>
      <w:tr>
        <w:trPr>
          <w:tblHeader/>
        </w:trPr>
        <w:tc>
          <w:tcPr>
            <w:tcW w:type="dxa" w:w="1616"/>
            <w:shd w:fill="F5F2EE" w:val="clear"/>
            <w:tcMar>
              <w:top w:type="dxa" w:w="100"/>
              <w:left w:type="dxa" w:w="100"/>
              <w:bottom w:type="dxa" w:w="100"/>
              <w:right w:type="dxa" w:w="100"/>
            </w:tcMar>
          </w:tcPr>
          <w:p>
            <w:r>
              <w:rPr>
                <w:b/>
                <w:bCs/>
                <w:color w:val="2A2D32"/>
                <w:sz w:val="16"/>
                <w:szCs w:val="16"/>
              </w:rPr>
              <w:t xml:space="preserve">Provision</w:t>
            </w:r>
          </w:p>
        </w:tc>
        <w:tc>
          <w:tcPr>
            <w:tcW w:type="dxa" w:w="3612"/>
            <w:shd w:fill="F5F2EE" w:val="clear"/>
            <w:tcMar>
              <w:top w:type="dxa" w:w="100"/>
              <w:left w:type="dxa" w:w="100"/>
              <w:bottom w:type="dxa" w:w="100"/>
              <w:right w:type="dxa" w:w="100"/>
            </w:tcMar>
          </w:tcPr>
          <w:p>
            <w:r>
              <w:rPr>
                <w:b/>
                <w:bCs/>
                <w:color w:val="2A2D32"/>
                <w:sz w:val="16"/>
                <w:szCs w:val="16"/>
              </w:rPr>
              <w:t xml:space="preserve">What it says</w:t>
            </w:r>
          </w:p>
        </w:tc>
        <w:tc>
          <w:tcPr>
            <w:tcW w:type="dxa" w:w="2567"/>
            <w:shd w:fill="F5F2EE" w:val="clear"/>
            <w:tcMar>
              <w:top w:type="dxa" w:w="100"/>
              <w:left w:type="dxa" w:w="100"/>
              <w:bottom w:type="dxa" w:w="100"/>
              <w:right w:type="dxa" w:w="100"/>
            </w:tcMar>
          </w:tcPr>
          <w:p>
            <w:r>
              <w:rPr>
                <w:b/>
                <w:bCs/>
                <w:color w:val="2A2D32"/>
                <w:sz w:val="16"/>
                <w:szCs w:val="16"/>
              </w:rPr>
              <w:t xml:space="preserve">Where it bites</w:t>
            </w:r>
          </w:p>
        </w:tc>
        <w:tc>
          <w:tcPr>
            <w:tcW w:type="dxa" w:w="1711"/>
            <w:shd w:fill="F5F2EE" w:val="clear"/>
            <w:tcMar>
              <w:top w:type="dxa" w:w="100"/>
              <w:left w:type="dxa" w:w="100"/>
              <w:bottom w:type="dxa" w:w="100"/>
              <w:right w:type="dxa" w:w="100"/>
            </w:tcMar>
          </w:tcPr>
          <w:p>
            <w:r>
              <w:rPr>
                <w:b/>
                <w:bCs/>
                <w:color w:val="2A2D32"/>
                <w:sz w:val="16"/>
                <w:szCs w:val="16"/>
              </w:rPr>
              <w:t xml:space="preserve">Source</w:t>
            </w:r>
          </w:p>
        </w:tc>
      </w:tr>
      <w:tr>
        <w:tc>
          <w:tcPr>
            <w:tcW w:type="dxa" w:w="1616"/>
            <w:tcMar>
              <w:top w:type="dxa" w:w="110"/>
              <w:left w:type="dxa" w:w="100"/>
              <w:bottom w:type="dxa" w:w="110"/>
              <w:right w:type="dxa" w:w="100"/>
            </w:tcMar>
          </w:tcPr>
          <w:p>
            <w:r>
              <w:rPr>
                <w:i w:val="false"/>
                <w:iCs w:val="false"/>
                <w:color w:val="2A2D32"/>
                <w:sz w:val="16"/>
                <w:szCs w:val="16"/>
              </w:rPr>
              <w:t xml:space="preserve">Wills Act 1837, s.9</w:t>
            </w:r>
          </w:p>
        </w:tc>
        <w:tc>
          <w:tcPr>
            <w:tcW w:type="dxa" w:w="3612"/>
            <w:tcMar>
              <w:top w:type="dxa" w:w="110"/>
              <w:left w:type="dxa" w:w="100"/>
              <w:bottom w:type="dxa" w:w="110"/>
              <w:right w:type="dxa" w:w="100"/>
            </w:tcMar>
          </w:tcPr>
          <w:p>
            <w:r>
              <w:rPr>
                <w:i w:val="false"/>
                <w:iCs w:val="false"/>
                <w:color w:val="2A2D32"/>
                <w:sz w:val="16"/>
                <w:szCs w:val="16"/>
              </w:rPr>
              <w:t xml:space="preserve">A will must be in writing, signed by the testator, and signed or acknowledged in front of two witnesses present at the same time, who then each sign in the testator's presence.</w:t>
            </w:r>
          </w:p>
        </w:tc>
        <w:tc>
          <w:tcPr>
            <w:tcW w:type="dxa" w:w="2567"/>
            <w:tcMar>
              <w:top w:type="dxa" w:w="110"/>
              <w:left w:type="dxa" w:w="100"/>
              <w:bottom w:type="dxa" w:w="110"/>
              <w:right w:type="dxa" w:w="100"/>
            </w:tcMar>
          </w:tcPr>
          <w:p>
            <w:r>
              <w:rPr>
                <w:i w:val="false"/>
                <w:iCs w:val="false"/>
                <w:color w:val="2A2D32"/>
                <w:sz w:val="16"/>
                <w:szCs w:val="16"/>
              </w:rPr>
              <w:t xml:space="preserve">Clause 7 of every will, and the signing routine.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https://www.legislation.gov.uk/ukpga/Will4and1Vict/7/26/section/9</w:t>
            </w:r>
          </w:p>
        </w:tc>
      </w:tr>
      <w:tr>
        <w:tc>
          <w:tcPr>
            <w:tcW w:type="dxa" w:w="1616"/>
            <w:tcMar>
              <w:top w:type="dxa" w:w="110"/>
              <w:left w:type="dxa" w:w="100"/>
              <w:bottom w:type="dxa" w:w="110"/>
              <w:right w:type="dxa" w:w="100"/>
            </w:tcMar>
          </w:tcPr>
          <w:p>
            <w:r>
              <w:rPr>
                <w:i w:val="false"/>
                <w:iCs w:val="false"/>
                <w:color w:val="2A2D32"/>
                <w:sz w:val="16"/>
                <w:szCs w:val="16"/>
              </w:rPr>
              <w:t xml:space="preserve">Wills Act 1837, s.15</w:t>
            </w:r>
          </w:p>
        </w:tc>
        <w:tc>
          <w:tcPr>
            <w:tcW w:type="dxa" w:w="3612"/>
            <w:tcMar>
              <w:top w:type="dxa" w:w="110"/>
              <w:left w:type="dxa" w:w="100"/>
              <w:bottom w:type="dxa" w:w="110"/>
              <w:right w:type="dxa" w:w="100"/>
            </w:tcMar>
          </w:tcPr>
          <w:p>
            <w:r>
              <w:rPr>
                <w:i w:val="false"/>
                <w:iCs w:val="false"/>
                <w:color w:val="2A2D32"/>
                <w:sz w:val="16"/>
                <w:szCs w:val="16"/>
              </w:rPr>
              <w:t xml:space="preserve">A gift to a person who witnesses the will, or to that witness's husband, wife or civil partner, is void. The will itself stays valid.</w:t>
            </w:r>
          </w:p>
        </w:tc>
        <w:tc>
          <w:tcPr>
            <w:tcW w:type="dxa" w:w="2567"/>
            <w:tcMar>
              <w:top w:type="dxa" w:w="110"/>
              <w:left w:type="dxa" w:w="100"/>
              <w:bottom w:type="dxa" w:w="110"/>
              <w:right w:type="dxa" w:w="100"/>
            </w:tcMar>
          </w:tcPr>
          <w:p>
            <w:r>
              <w:rPr>
                <w:i w:val="false"/>
                <w:iCs w:val="false"/>
                <w:color w:val="2A2D32"/>
                <w:sz w:val="16"/>
                <w:szCs w:val="16"/>
              </w:rPr>
              <w:t xml:space="preserve">Why the red box on every attestation page names who must not witness.</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https://www.legislation.gov.uk/ukpga/Will4and1Vict/7/26/section/15</w:t>
            </w:r>
          </w:p>
        </w:tc>
      </w:tr>
      <w:tr>
        <w:tc>
          <w:tcPr>
            <w:tcW w:type="dxa" w:w="1616"/>
            <w:tcMar>
              <w:top w:type="dxa" w:w="110"/>
              <w:left w:type="dxa" w:w="100"/>
              <w:bottom w:type="dxa" w:w="110"/>
              <w:right w:type="dxa" w:w="100"/>
            </w:tcMar>
          </w:tcPr>
          <w:p>
            <w:r>
              <w:rPr>
                <w:i w:val="false"/>
                <w:iCs w:val="false"/>
                <w:color w:val="2A2D32"/>
                <w:sz w:val="16"/>
                <w:szCs w:val="16"/>
              </w:rPr>
              <w:t xml:space="preserve">Civil Partnership Act 2004, Sch. 4 para. 3</w:t>
            </w:r>
          </w:p>
        </w:tc>
        <w:tc>
          <w:tcPr>
            <w:tcW w:type="dxa" w:w="3612"/>
            <w:tcMar>
              <w:top w:type="dxa" w:w="110"/>
              <w:left w:type="dxa" w:w="100"/>
              <w:bottom w:type="dxa" w:w="110"/>
              <w:right w:type="dxa" w:w="100"/>
            </w:tcMar>
          </w:tcPr>
          <w:p>
            <w:r>
              <w:rPr>
                <w:i w:val="false"/>
                <w:iCs w:val="false"/>
                <w:color w:val="2A2D32"/>
                <w:sz w:val="16"/>
                <w:szCs w:val="16"/>
              </w:rPr>
              <w:t xml:space="preserve">Extends the Wills Act 1837 s.15 beneficiary-witness rule to a witness's civil partner, on the same footing as a spouse.</w:t>
            </w:r>
          </w:p>
        </w:tc>
        <w:tc>
          <w:tcPr>
            <w:tcW w:type="dxa" w:w="2567"/>
            <w:tcMar>
              <w:top w:type="dxa" w:w="110"/>
              <w:left w:type="dxa" w:w="100"/>
              <w:bottom w:type="dxa" w:w="110"/>
              <w:right w:type="dxa" w:w="100"/>
            </w:tcMar>
          </w:tcPr>
          <w:p>
            <w:r>
              <w:rPr>
                <w:i w:val="false"/>
                <w:iCs w:val="false"/>
                <w:color w:val="2A2D32"/>
                <w:sz w:val="16"/>
                <w:szCs w:val="16"/>
              </w:rPr>
              <w:t xml:space="preserve">The red box on every attestation page.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https://www.legislation.gov.uk/ukpga/2004/33/schedule/4</w:t>
            </w:r>
          </w:p>
        </w:tc>
      </w:tr>
      <w:tr>
        <w:tc>
          <w:tcPr>
            <w:tcW w:type="dxa" w:w="1616"/>
            <w:tcMar>
              <w:top w:type="dxa" w:w="110"/>
              <w:left w:type="dxa" w:w="100"/>
              <w:bottom w:type="dxa" w:w="110"/>
              <w:right w:type="dxa" w:w="100"/>
            </w:tcMar>
          </w:tcPr>
          <w:p>
            <w:r>
              <w:rPr>
                <w:i w:val="false"/>
                <w:iCs w:val="false"/>
                <w:color w:val="2A2D32"/>
                <w:sz w:val="16"/>
                <w:szCs w:val="16"/>
              </w:rPr>
              <w:t xml:space="preserve">Wills Act 1837, ss.18 and 18B</w:t>
            </w:r>
          </w:p>
        </w:tc>
        <w:tc>
          <w:tcPr>
            <w:tcW w:type="dxa" w:w="3612"/>
            <w:tcMar>
              <w:top w:type="dxa" w:w="110"/>
              <w:left w:type="dxa" w:w="100"/>
              <w:bottom w:type="dxa" w:w="110"/>
              <w:right w:type="dxa" w:w="100"/>
            </w:tcMar>
          </w:tcPr>
          <w:p>
            <w:r>
              <w:rPr>
                <w:i w:val="false"/>
                <w:iCs w:val="false"/>
                <w:color w:val="2A2D32"/>
                <w:sz w:val="16"/>
                <w:szCs w:val="16"/>
              </w:rPr>
              <w:t xml:space="preserve">Marriage, or forming a civil partnership, revokes a will made before it, unless made in expectation of that marriage or partnership.</w:t>
            </w:r>
          </w:p>
        </w:tc>
        <w:tc>
          <w:tcPr>
            <w:tcW w:type="dxa" w:w="2567"/>
            <w:tcMar>
              <w:top w:type="dxa" w:w="110"/>
              <w:left w:type="dxa" w:w="100"/>
              <w:bottom w:type="dxa" w:w="110"/>
              <w:right w:type="dxa" w:w="100"/>
            </w:tcMar>
          </w:tcPr>
          <w:p>
            <w:r>
              <w:rPr>
                <w:i w:val="false"/>
                <w:iCs w:val="false"/>
                <w:color w:val="2A2D32"/>
                <w:sz w:val="16"/>
                <w:szCs w:val="16"/>
              </w:rPr>
              <w:t xml:space="preserve">Naomi's Clause 6 — “if her life changes.”</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https://www.legislation.gov.uk/ukpga/Will4and1Vict/7/26/section/18</w:t>
            </w:r>
          </w:p>
        </w:tc>
      </w:tr>
      <w:tr>
        <w:tc>
          <w:tcPr>
            <w:tcW w:type="dxa" w:w="1616"/>
            <w:tcMar>
              <w:top w:type="dxa" w:w="110"/>
              <w:left w:type="dxa" w:w="100"/>
              <w:bottom w:type="dxa" w:w="110"/>
              <w:right w:type="dxa" w:w="100"/>
            </w:tcMar>
          </w:tcPr>
          <w:p>
            <w:r>
              <w:rPr>
                <w:i w:val="false"/>
                <w:iCs w:val="false"/>
                <w:color w:val="2A2D32"/>
                <w:sz w:val="16"/>
                <w:szCs w:val="16"/>
              </w:rPr>
              <w:t xml:space="preserve">Wills Act 1837, ss.18A and 18C</w:t>
            </w:r>
          </w:p>
        </w:tc>
        <w:tc>
          <w:tcPr>
            <w:tcW w:type="dxa" w:w="3612"/>
            <w:tcMar>
              <w:top w:type="dxa" w:w="110"/>
              <w:left w:type="dxa" w:w="100"/>
              <w:bottom w:type="dxa" w:w="110"/>
              <w:right w:type="dxa" w:w="100"/>
            </w:tcMar>
          </w:tcPr>
          <w:p>
            <w:r>
              <w:rPr>
                <w:i w:val="false"/>
                <w:iCs w:val="false"/>
                <w:color w:val="2A2D32"/>
                <w:sz w:val="16"/>
                <w:szCs w:val="16"/>
              </w:rPr>
              <w:t xml:space="preserve">On divorce, annulment or dissolution, a former spouse or civil partner is treated as having died on that date: gifts and appointments to them lapse; the rest of the will stands.</w:t>
            </w:r>
          </w:p>
        </w:tc>
        <w:tc>
          <w:tcPr>
            <w:tcW w:type="dxa" w:w="2567"/>
            <w:tcMar>
              <w:top w:type="dxa" w:w="110"/>
              <w:left w:type="dxa" w:w="100"/>
              <w:bottom w:type="dxa" w:w="110"/>
              <w:right w:type="dxa" w:w="100"/>
            </w:tcMar>
          </w:tcPr>
          <w:p>
            <w:r>
              <w:rPr>
                <w:i w:val="false"/>
                <w:iCs w:val="false"/>
                <w:color w:val="2A2D32"/>
                <w:sz w:val="16"/>
                <w:szCs w:val="16"/>
              </w:rPr>
              <w:t xml:space="preserve">Why every clause 3 and clause 6 on this page names a substitute.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https://www.legislation.gov.uk/ukpga/Will4and1Vict/7/26/section/18A</w:t>
            </w:r>
          </w:p>
        </w:tc>
      </w:tr>
      <w:tr>
        <w:tc>
          <w:tcPr>
            <w:tcW w:type="dxa" w:w="1616"/>
            <w:tcMar>
              <w:top w:type="dxa" w:w="110"/>
              <w:left w:type="dxa" w:w="100"/>
              <w:bottom w:type="dxa" w:w="110"/>
              <w:right w:type="dxa" w:w="100"/>
            </w:tcMar>
          </w:tcPr>
          <w:p>
            <w:r>
              <w:rPr>
                <w:i w:val="false"/>
                <w:iCs w:val="false"/>
                <w:color w:val="2A2D32"/>
                <w:sz w:val="16"/>
                <w:szCs w:val="16"/>
              </w:rPr>
              <w:t xml:space="preserve">Wills Act 1837, s.20</w:t>
            </w:r>
          </w:p>
        </w:tc>
        <w:tc>
          <w:tcPr>
            <w:tcW w:type="dxa" w:w="3612"/>
            <w:tcMar>
              <w:top w:type="dxa" w:w="110"/>
              <w:left w:type="dxa" w:w="100"/>
              <w:bottom w:type="dxa" w:w="110"/>
              <w:right w:type="dxa" w:w="100"/>
            </w:tcMar>
          </w:tcPr>
          <w:p>
            <w:r>
              <w:rPr>
                <w:i w:val="false"/>
                <w:iCs w:val="false"/>
                <w:color w:val="2A2D32"/>
                <w:sz w:val="16"/>
                <w:szCs w:val="16"/>
              </w:rPr>
              <w:t xml:space="preserve">A will is revoked only by a later will or codicil, a written declaration executed like a will, or destruction with intent to revoke.</w:t>
            </w:r>
          </w:p>
        </w:tc>
        <w:tc>
          <w:tcPr>
            <w:tcW w:type="dxa" w:w="2567"/>
            <w:tcMar>
              <w:top w:type="dxa" w:w="110"/>
              <w:left w:type="dxa" w:w="100"/>
              <w:bottom w:type="dxa" w:w="110"/>
              <w:right w:type="dxa" w:w="100"/>
            </w:tcMar>
          </w:tcPr>
          <w:p>
            <w:r>
              <w:rPr>
                <w:i w:val="false"/>
                <w:iCs w:val="false"/>
                <w:color w:val="2A2D32"/>
                <w:sz w:val="16"/>
                <w:szCs w:val="16"/>
              </w:rPr>
              <w:t xml:space="preserve">Clause 2 of every will.</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https://www.legislation.gov.uk/ukpga/Will4and1Vict/7/26/section/20</w:t>
            </w:r>
          </w:p>
        </w:tc>
      </w:tr>
      <w:tr>
        <w:tc>
          <w:tcPr>
            <w:tcW w:type="dxa" w:w="1616"/>
            <w:tcMar>
              <w:top w:type="dxa" w:w="110"/>
              <w:left w:type="dxa" w:w="100"/>
              <w:bottom w:type="dxa" w:w="110"/>
              <w:right w:type="dxa" w:w="100"/>
            </w:tcMar>
          </w:tcPr>
          <w:p>
            <w:r>
              <w:rPr>
                <w:i w:val="false"/>
                <w:iCs w:val="false"/>
                <w:color w:val="2A2D32"/>
                <w:sz w:val="16"/>
                <w:szCs w:val="16"/>
              </w:rPr>
              <w:t xml:space="preserve">Wills Act 1837, s.33</w:t>
            </w:r>
          </w:p>
        </w:tc>
        <w:tc>
          <w:tcPr>
            <w:tcW w:type="dxa" w:w="3612"/>
            <w:tcMar>
              <w:top w:type="dxa" w:w="110"/>
              <w:left w:type="dxa" w:w="100"/>
              <w:bottom w:type="dxa" w:w="110"/>
              <w:right w:type="dxa" w:w="100"/>
            </w:tcMar>
          </w:tcPr>
          <w:p>
            <w:r>
              <w:rPr>
                <w:i w:val="false"/>
                <w:iCs w:val="false"/>
                <w:color w:val="2A2D32"/>
                <w:sz w:val="16"/>
                <w:szCs w:val="16"/>
              </w:rPr>
              <w:t xml:space="preserve">A gift to the testator's own child or remoter descendant who dies first, leaving descendants who are alive at the testator's death, passes to those descendants — unless the will says otherwise. It has no application to a gift to anyone else.</w:t>
            </w:r>
          </w:p>
        </w:tc>
        <w:tc>
          <w:tcPr>
            <w:tcW w:type="dxa" w:w="2567"/>
            <w:tcMar>
              <w:top w:type="dxa" w:w="110"/>
              <w:left w:type="dxa" w:w="100"/>
              <w:bottom w:type="dxa" w:w="110"/>
              <w:right w:type="dxa" w:w="100"/>
            </w:tcMar>
          </w:tcPr>
          <w:p>
            <w:r>
              <w:rPr>
                <w:i w:val="false"/>
                <w:iCs w:val="false"/>
                <w:color w:val="2A2D32"/>
                <w:sz w:val="16"/>
                <w:szCs w:val="16"/>
              </w:rPr>
              <w:t xml:space="preserve">Naomi's Clause 6 note (no such tier for a sister); Rachel's and Susan's Clause 6 grandchildren paragraph; every Clause 5 specific-gift note.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https://www.legislation.gov.uk/ukpga/Will4and1Vict/7/26/section/33</w:t>
            </w:r>
          </w:p>
        </w:tc>
      </w:tr>
      <w:tr>
        <w:tc>
          <w:tcPr>
            <w:tcW w:type="dxa" w:w="1616"/>
            <w:tcMar>
              <w:top w:type="dxa" w:w="110"/>
              <w:left w:type="dxa" w:w="100"/>
              <w:bottom w:type="dxa" w:w="110"/>
              <w:right w:type="dxa" w:w="100"/>
            </w:tcMar>
          </w:tcPr>
          <w:p>
            <w:r>
              <w:rPr>
                <w:i w:val="false"/>
                <w:iCs w:val="false"/>
                <w:color w:val="2A2D32"/>
                <w:sz w:val="16"/>
                <w:szCs w:val="16"/>
              </w:rPr>
              <w:t xml:space="preserve">Administration of Estates Act 1925, s.46</w:t>
            </w:r>
          </w:p>
        </w:tc>
        <w:tc>
          <w:tcPr>
            <w:tcW w:type="dxa" w:w="3612"/>
            <w:tcMar>
              <w:top w:type="dxa" w:w="110"/>
              <w:left w:type="dxa" w:w="100"/>
              <w:bottom w:type="dxa" w:w="110"/>
              <w:right w:type="dxa" w:w="100"/>
            </w:tcMar>
          </w:tcPr>
          <w:p>
            <w:r>
              <w:rPr>
                <w:i w:val="false"/>
                <w:iCs w:val="false"/>
                <w:color w:val="2A2D32"/>
                <w:sz w:val="16"/>
                <w:szCs w:val="16"/>
              </w:rPr>
              <w:t xml:space="preserve">The statutory order of distribution on intestacy: children first, then parents, then siblings and further out; a partner never married to the deceased is not on the list at all.</w:t>
            </w:r>
          </w:p>
        </w:tc>
        <w:tc>
          <w:tcPr>
            <w:tcW w:type="dxa" w:w="2567"/>
            <w:tcMar>
              <w:top w:type="dxa" w:w="110"/>
              <w:left w:type="dxa" w:w="100"/>
              <w:bottom w:type="dxa" w:w="110"/>
              <w:right w:type="dxa" w:w="100"/>
            </w:tcMar>
          </w:tcPr>
          <w:p>
            <w:r>
              <w:rPr>
                <w:i w:val="false"/>
                <w:iCs w:val="false"/>
                <w:color w:val="2A2D32"/>
                <w:sz w:val="16"/>
                <w:szCs w:val="16"/>
              </w:rPr>
              <w:t xml:space="preserve">Household A's “does not cover,” FAQ 4, and Household C's stepson note.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https://www.legislation.gov.uk/ukpga/Geo5/15-16/23/section/46</w:t>
            </w:r>
          </w:p>
        </w:tc>
      </w:tr>
      <w:tr>
        <w:tc>
          <w:tcPr>
            <w:tcW w:type="dxa" w:w="1616"/>
            <w:tcMar>
              <w:top w:type="dxa" w:w="110"/>
              <w:left w:type="dxa" w:w="100"/>
              <w:bottom w:type="dxa" w:w="110"/>
              <w:right w:type="dxa" w:w="100"/>
            </w:tcMar>
          </w:tcPr>
          <w:p>
            <w:r>
              <w:rPr>
                <w:i w:val="false"/>
                <w:iCs w:val="false"/>
                <w:color w:val="2A2D32"/>
                <w:sz w:val="16"/>
                <w:szCs w:val="16"/>
              </w:rPr>
              <w:t xml:space="preserve">Inheritance (Provision for Family and Dependants) Act 1975, s.1</w:t>
            </w:r>
          </w:p>
        </w:tc>
        <w:tc>
          <w:tcPr>
            <w:tcW w:type="dxa" w:w="3612"/>
            <w:tcMar>
              <w:top w:type="dxa" w:w="110"/>
              <w:left w:type="dxa" w:w="100"/>
              <w:bottom w:type="dxa" w:w="110"/>
              <w:right w:type="dxa" w:w="100"/>
            </w:tcMar>
          </w:tcPr>
          <w:p>
            <w:r>
              <w:rPr>
                <w:i w:val="false"/>
                <w:iCs w:val="false"/>
                <w:color w:val="2A2D32"/>
                <w:sz w:val="16"/>
                <w:szCs w:val="16"/>
              </w:rPr>
              <w:t xml:space="preserve">A spouse or civil partner, a former spouse who has not remarried, a 2-year cohabitant, a child of the deceased (no age limit), anyone treated as a child of the family, or a dependant may apply to court for reasonable financial provision.</w:t>
            </w:r>
          </w:p>
        </w:tc>
        <w:tc>
          <w:tcPr>
            <w:tcW w:type="dxa" w:w="2567"/>
            <w:tcMar>
              <w:top w:type="dxa" w:w="110"/>
              <w:left w:type="dxa" w:w="100"/>
              <w:bottom w:type="dxa" w:w="110"/>
              <w:right w:type="dxa" w:w="100"/>
            </w:tcMar>
          </w:tcPr>
          <w:p>
            <w:r>
              <w:rPr>
                <w:i w:val="false"/>
                <w:iCs w:val="false"/>
                <w:color w:val="2A2D32"/>
                <w:sz w:val="16"/>
                <w:szCs w:val="16"/>
              </w:rPr>
              <w:t xml:space="preserve">Household C's Clause 6 — the reason Kieran's exclusion is stated, not silent.</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https://www.legislation.gov.uk/ukpga/1975/63/section/1</w:t>
            </w:r>
          </w:p>
        </w:tc>
      </w:tr>
      <w:tr>
        <w:tc>
          <w:tcPr>
            <w:tcW w:type="dxa" w:w="1616"/>
            <w:tcMar>
              <w:top w:type="dxa" w:w="110"/>
              <w:left w:type="dxa" w:w="100"/>
              <w:bottom w:type="dxa" w:w="110"/>
              <w:right w:type="dxa" w:w="100"/>
            </w:tcMar>
          </w:tcPr>
          <w:p>
            <w:r>
              <w:rPr>
                <w:i w:val="false"/>
                <w:iCs w:val="false"/>
                <w:color w:val="2A2D32"/>
                <w:sz w:val="16"/>
                <w:szCs w:val="16"/>
              </w:rPr>
              <w:t xml:space="preserve">Ilott v The Blue Cross and others [2017] UKSC 17</w:t>
            </w:r>
          </w:p>
        </w:tc>
        <w:tc>
          <w:tcPr>
            <w:tcW w:type="dxa" w:w="3612"/>
            <w:tcMar>
              <w:top w:type="dxa" w:w="110"/>
              <w:left w:type="dxa" w:w="100"/>
              <w:bottom w:type="dxa" w:w="110"/>
              <w:right w:type="dxa" w:w="100"/>
            </w:tcMar>
          </w:tcPr>
          <w:p>
            <w:r>
              <w:rPr>
                <w:i w:val="false"/>
                <w:iCs w:val="false"/>
                <w:color w:val="2A2D32"/>
                <w:sz w:val="16"/>
                <w:szCs w:val="16"/>
              </w:rPr>
              <w:t xml:space="preserve">The Supreme Court restored a modest award to an estranged adult daughter against a will leaving everything to charities, and set out how much weight a testator's clear wishes carry.</w:t>
            </w:r>
          </w:p>
        </w:tc>
        <w:tc>
          <w:tcPr>
            <w:tcW w:type="dxa" w:w="2567"/>
            <w:tcMar>
              <w:top w:type="dxa" w:w="110"/>
              <w:left w:type="dxa" w:w="100"/>
              <w:bottom w:type="dxa" w:w="110"/>
              <w:right w:type="dxa" w:w="100"/>
            </w:tcMar>
          </w:tcPr>
          <w:p>
            <w:r>
              <w:rPr>
                <w:i w:val="false"/>
                <w:iCs w:val="false"/>
                <w:color w:val="2A2D32"/>
                <w:sz w:val="16"/>
                <w:szCs w:val="16"/>
              </w:rPr>
              <w:t xml:space="preserve">Household C's Clause 6 annotation and this pack's “when to stop” chapter.</w:t>
            </w:r>
          </w:p>
        </w:tc>
        <w:tc>
          <w:tcPr>
            <w:tcW w:type="dxa" w:w="1711"/>
            <w:tcMar>
              <w:top w:type="dxa" w:w="110"/>
              <w:left w:type="dxa" w:w="100"/>
              <w:bottom w:type="dxa" w:w="110"/>
              <w:right w:type="dxa" w:w="100"/>
            </w:tcMar>
          </w:tcPr>
          <w:p>
            <w:r>
              <w:rPr>
                <w:i w:val="false"/>
                <w:iCs w:val="false"/>
                <w:color w:val="B0764A"/>
                <w:sz w:val="16"/>
                <w:szCs w:val="16"/>
              </w:rPr>
              <w:t xml:space="preserve">https://www.supremecourt.uk/cases/uksc-2015-0203</w:t>
            </w:r>
          </w:p>
        </w:tc>
      </w:tr>
      <w:tr>
        <w:tc>
          <w:tcPr>
            <w:tcW w:type="dxa" w:w="1616"/>
            <w:tcMar>
              <w:top w:type="dxa" w:w="110"/>
              <w:left w:type="dxa" w:w="100"/>
              <w:bottom w:type="dxa" w:w="110"/>
              <w:right w:type="dxa" w:w="100"/>
            </w:tcMar>
          </w:tcPr>
          <w:p>
            <w:r>
              <w:rPr>
                <w:i w:val="false"/>
                <w:iCs w:val="false"/>
                <w:color w:val="2A2D32"/>
                <w:sz w:val="16"/>
                <w:szCs w:val="16"/>
              </w:rPr>
              <w:t xml:space="preserve">Trustee Act 1925, s.14(2)</w:t>
            </w:r>
          </w:p>
        </w:tc>
        <w:tc>
          <w:tcPr>
            <w:tcW w:type="dxa" w:w="3612"/>
            <w:tcMar>
              <w:top w:type="dxa" w:w="110"/>
              <w:left w:type="dxa" w:w="100"/>
              <w:bottom w:type="dxa" w:w="110"/>
              <w:right w:type="dxa" w:w="100"/>
            </w:tcMar>
          </w:tcPr>
          <w:p>
            <w:r>
              <w:rPr>
                <w:i w:val="false"/>
                <w:iCs w:val="false"/>
                <w:color w:val="2A2D32"/>
                <w:sz w:val="16"/>
                <w:szCs w:val="16"/>
              </w:rPr>
              <w:t xml:space="preserve">A sole trustee cannot give a valid receipt for the proceeds of land held on trust; two trustees, or a trust corporation, are needed.</w:t>
            </w:r>
          </w:p>
        </w:tc>
        <w:tc>
          <w:tcPr>
            <w:tcW w:type="dxa" w:w="2567"/>
            <w:tcMar>
              <w:top w:type="dxa" w:w="110"/>
              <w:left w:type="dxa" w:w="100"/>
              <w:bottom w:type="dxa" w:w="110"/>
              <w:right w:type="dxa" w:w="100"/>
            </w:tcMar>
          </w:tcPr>
          <w:p>
            <w:r>
              <w:rPr>
                <w:i w:val="false"/>
                <w:iCs w:val="false"/>
                <w:color w:val="2A2D32"/>
                <w:sz w:val="16"/>
                <w:szCs w:val="16"/>
              </w:rPr>
              <w:t xml:space="preserve">Why Susan's executors are named jointly, and why Rachel's substitute executors are two people.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https://www.legislation.gov.uk/ukpga/Geo5/15-16/19/section/14</w:t>
            </w:r>
          </w:p>
        </w:tc>
      </w:tr>
      <w:tr>
        <w:tc>
          <w:tcPr>
            <w:tcW w:type="dxa" w:w="1616"/>
            <w:tcMar>
              <w:top w:type="dxa" w:w="110"/>
              <w:left w:type="dxa" w:w="100"/>
              <w:bottom w:type="dxa" w:w="110"/>
              <w:right w:type="dxa" w:w="100"/>
            </w:tcMar>
          </w:tcPr>
          <w:p>
            <w:r>
              <w:rPr>
                <w:i w:val="false"/>
                <w:iCs w:val="false"/>
                <w:color w:val="2A2D32"/>
                <w:sz w:val="16"/>
                <w:szCs w:val="16"/>
              </w:rPr>
              <w:t xml:space="preserve">Trustee Act 1925, ss.31–32</w:t>
            </w:r>
          </w:p>
        </w:tc>
        <w:tc>
          <w:tcPr>
            <w:tcW w:type="dxa" w:w="3612"/>
            <w:tcMar>
              <w:top w:type="dxa" w:w="110"/>
              <w:left w:type="dxa" w:w="100"/>
              <w:bottom w:type="dxa" w:w="110"/>
              <w:right w:type="dxa" w:w="100"/>
            </w:tcMar>
          </w:tcPr>
          <w:p>
            <w:r>
              <w:rPr>
                <w:i w:val="false"/>
                <w:iCs w:val="false"/>
                <w:color w:val="2A2D32"/>
                <w:sz w:val="16"/>
                <w:szCs w:val="16"/>
              </w:rPr>
              <w:t xml:space="preserve">Trustees may apply a minor beneficiary's income for maintenance and education, and — since 2014 — advance up to the whole (not merely half) of their eventual share early.</w:t>
            </w:r>
          </w:p>
        </w:tc>
        <w:tc>
          <w:tcPr>
            <w:tcW w:type="dxa" w:w="2567"/>
            <w:tcMar>
              <w:top w:type="dxa" w:w="110"/>
              <w:left w:type="dxa" w:w="100"/>
              <w:bottom w:type="dxa" w:w="110"/>
              <w:right w:type="dxa" w:w="100"/>
            </w:tcMar>
          </w:tcPr>
          <w:p>
            <w:r>
              <w:rPr>
                <w:i w:val="false"/>
                <w:iCs w:val="false"/>
                <w:color w:val="2A2D32"/>
                <w:sz w:val="16"/>
                <w:szCs w:val="16"/>
              </w:rPr>
              <w:t xml:space="preserve">Rachel's Clause 6 note on what happens to Freya's and Oscar's shares before 18.</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https://www.legislation.gov.uk/ukpga/Geo5/15-16/19/section/31</w:t>
            </w:r>
          </w:p>
        </w:tc>
      </w:tr>
      <w:tr>
        <w:tc>
          <w:tcPr>
            <w:tcW w:type="dxa" w:w="1616"/>
            <w:tcMar>
              <w:top w:type="dxa" w:w="110"/>
              <w:left w:type="dxa" w:w="100"/>
              <w:bottom w:type="dxa" w:w="110"/>
              <w:right w:type="dxa" w:w="100"/>
            </w:tcMar>
          </w:tcPr>
          <w:p>
            <w:r>
              <w:rPr>
                <w:i w:val="false"/>
                <w:iCs w:val="false"/>
                <w:color w:val="2A2D32"/>
                <w:sz w:val="16"/>
                <w:szCs w:val="16"/>
              </w:rPr>
              <w:t xml:space="preserve">Trustee Act 1925, s.36</w:t>
            </w:r>
          </w:p>
        </w:tc>
        <w:tc>
          <w:tcPr>
            <w:tcW w:type="dxa" w:w="3612"/>
            <w:tcMar>
              <w:top w:type="dxa" w:w="110"/>
              <w:left w:type="dxa" w:w="100"/>
              <w:bottom w:type="dxa" w:w="110"/>
              <w:right w:type="dxa" w:w="100"/>
            </w:tcMar>
          </w:tcPr>
          <w:p>
            <w:r>
              <w:rPr>
                <w:i w:val="false"/>
                <w:iCs w:val="false"/>
                <w:color w:val="2A2D32"/>
                <w:sz w:val="16"/>
                <w:szCs w:val="16"/>
              </w:rPr>
              <w:t xml:space="preserve">Machinery for appointing replacement trustees. Whether it applies after an executor or trustee drops out depends on the capacity in which people are acting and the property involved — take advice on the facts (under review by our solicitor, September 2026).</w:t>
            </w:r>
          </w:p>
        </w:tc>
        <w:tc>
          <w:tcPr>
            <w:tcW w:type="dxa" w:w="2567"/>
            <w:tcMar>
              <w:top w:type="dxa" w:w="110"/>
              <w:left w:type="dxa" w:w="100"/>
              <w:bottom w:type="dxa" w:w="110"/>
              <w:right w:type="dxa" w:w="100"/>
            </w:tcMar>
          </w:tcPr>
          <w:p>
            <w:r>
              <w:rPr>
                <w:i w:val="false"/>
                <w:iCs w:val="false"/>
                <w:color w:val="2A2D32"/>
                <w:sz w:val="16"/>
                <w:szCs w:val="16"/>
              </w:rPr>
              <w:t xml:space="preserve">Every household's “does not cover” note on a co-executor vacancy arising mid-administration.</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https://www.legislation.gov.uk/ukpga/Geo5/15-16/19/section/36</w:t>
            </w:r>
          </w:p>
        </w:tc>
      </w:tr>
      <w:tr>
        <w:tc>
          <w:tcPr>
            <w:tcW w:type="dxa" w:w="1616"/>
            <w:tcMar>
              <w:top w:type="dxa" w:w="110"/>
              <w:left w:type="dxa" w:w="100"/>
              <w:bottom w:type="dxa" w:w="110"/>
              <w:right w:type="dxa" w:w="100"/>
            </w:tcMar>
          </w:tcPr>
          <w:p>
            <w:r>
              <w:rPr>
                <w:i w:val="false"/>
                <w:iCs w:val="false"/>
                <w:color w:val="2A2D32"/>
                <w:sz w:val="16"/>
                <w:szCs w:val="16"/>
              </w:rPr>
              <w:t xml:space="preserve">Law of Property Act 1925, s.184</w:t>
            </w:r>
          </w:p>
        </w:tc>
        <w:tc>
          <w:tcPr>
            <w:tcW w:type="dxa" w:w="3612"/>
            <w:tcMar>
              <w:top w:type="dxa" w:w="110"/>
              <w:left w:type="dxa" w:w="100"/>
              <w:bottom w:type="dxa" w:w="110"/>
              <w:right w:type="dxa" w:w="100"/>
            </w:tcMar>
          </w:tcPr>
          <w:p>
            <w:r>
              <w:rPr>
                <w:i w:val="false"/>
                <w:iCs w:val="false"/>
                <w:color w:val="2A2D32"/>
                <w:sz w:val="16"/>
                <w:szCs w:val="16"/>
              </w:rPr>
              <w:t xml:space="preserve">Where it cannot be known which of two people died first, the younger is presumed in law to have survived the elder.</w:t>
            </w:r>
          </w:p>
        </w:tc>
        <w:tc>
          <w:tcPr>
            <w:tcW w:type="dxa" w:w="2567"/>
            <w:tcMar>
              <w:top w:type="dxa" w:w="110"/>
              <w:left w:type="dxa" w:w="100"/>
              <w:bottom w:type="dxa" w:w="110"/>
              <w:right w:type="dxa" w:w="100"/>
            </w:tcMar>
          </w:tcPr>
          <w:p>
            <w:r>
              <w:rPr>
                <w:i w:val="false"/>
                <w:iCs w:val="false"/>
                <w:color w:val="2A2D32"/>
                <w:sz w:val="16"/>
                <w:szCs w:val="16"/>
              </w:rPr>
              <w:t xml:space="preserve">The 28-day survivorship condition in every Clause 6 on this page.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https://www.legislation.gov.uk/ukpga/Geo5/15-16/20/section/184</w:t>
            </w:r>
          </w:p>
        </w:tc>
      </w:tr>
      <w:tr>
        <w:tc>
          <w:tcPr>
            <w:tcW w:type="dxa" w:w="1616"/>
            <w:tcMar>
              <w:top w:type="dxa" w:w="110"/>
              <w:left w:type="dxa" w:w="100"/>
              <w:bottom w:type="dxa" w:w="110"/>
              <w:right w:type="dxa" w:w="100"/>
            </w:tcMar>
          </w:tcPr>
          <w:p>
            <w:r>
              <w:rPr>
                <w:i w:val="false"/>
                <w:iCs w:val="false"/>
                <w:color w:val="2A2D32"/>
                <w:sz w:val="16"/>
                <w:szCs w:val="16"/>
              </w:rPr>
              <w:t xml:space="preserve">Inheritance Tax Act 1984, s.18</w:t>
            </w:r>
          </w:p>
        </w:tc>
        <w:tc>
          <w:tcPr>
            <w:tcW w:type="dxa" w:w="3612"/>
            <w:tcMar>
              <w:top w:type="dxa" w:w="110"/>
              <w:left w:type="dxa" w:w="100"/>
              <w:bottom w:type="dxa" w:w="110"/>
              <w:right w:type="dxa" w:w="100"/>
            </w:tcMar>
          </w:tcPr>
          <w:p>
            <w:r>
              <w:rPr>
                <w:i w:val="false"/>
                <w:iCs w:val="false"/>
                <w:color w:val="2A2D32"/>
                <w:sz w:val="16"/>
                <w:szCs w:val="16"/>
              </w:rPr>
              <w:t xml:space="preserve">Transfers between spouses and civil partners are exempt from Inheritance Tax; a 28-day survivorship condition does not lose that exemption.</w:t>
            </w:r>
          </w:p>
        </w:tc>
        <w:tc>
          <w:tcPr>
            <w:tcW w:type="dxa" w:w="2567"/>
            <w:tcMar>
              <w:top w:type="dxa" w:w="110"/>
              <w:left w:type="dxa" w:w="100"/>
              <w:bottom w:type="dxa" w:w="110"/>
              <w:right w:type="dxa" w:w="100"/>
            </w:tcMar>
          </w:tcPr>
          <w:p>
            <w:r>
              <w:rPr>
                <w:i w:val="false"/>
                <w:iCs w:val="false"/>
                <w:color w:val="2A2D32"/>
                <w:sz w:val="16"/>
                <w:szCs w:val="16"/>
              </w:rPr>
              <w:t xml:space="preserve">Rachel's Clause 6 note on the spouse exemption.</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https://www.legislation.gov.uk/ukpga/1984/51/section/18</w:t>
            </w:r>
          </w:p>
        </w:tc>
      </w:tr>
      <w:tr>
        <w:tc>
          <w:tcPr>
            <w:tcW w:type="dxa" w:w="1616"/>
            <w:tcMar>
              <w:top w:type="dxa" w:w="110"/>
              <w:left w:type="dxa" w:w="100"/>
              <w:bottom w:type="dxa" w:w="110"/>
              <w:right w:type="dxa" w:w="100"/>
            </w:tcMar>
          </w:tcPr>
          <w:p>
            <w:r>
              <w:rPr>
                <w:i w:val="false"/>
                <w:iCs w:val="false"/>
                <w:color w:val="2A2D32"/>
                <w:sz w:val="16"/>
                <w:szCs w:val="16"/>
              </w:rPr>
              <w:t xml:space="preserve">Inheritance Tax Act 1984, s.23 and Sch. 1A</w:t>
            </w:r>
          </w:p>
        </w:tc>
        <w:tc>
          <w:tcPr>
            <w:tcW w:type="dxa" w:w="3612"/>
            <w:tcMar>
              <w:top w:type="dxa" w:w="110"/>
              <w:left w:type="dxa" w:w="100"/>
              <w:bottom w:type="dxa" w:w="110"/>
              <w:right w:type="dxa" w:w="100"/>
            </w:tcMar>
          </w:tcPr>
          <w:p>
            <w:r>
              <w:rPr>
                <w:i w:val="false"/>
                <w:iCs w:val="false"/>
                <w:color w:val="2A2D32"/>
                <w:sz w:val="16"/>
                <w:szCs w:val="16"/>
              </w:rPr>
              <w:t xml:space="preserve">A gift to a UK charity is exempt from Inheritance Tax outright, any size; a reduced 36% rate applies only where at least 10% of a defined “baseline amount” goes to charity — a modest fixed legacy does not reach it.</w:t>
            </w:r>
          </w:p>
        </w:tc>
        <w:tc>
          <w:tcPr>
            <w:tcW w:type="dxa" w:w="2567"/>
            <w:tcMar>
              <w:top w:type="dxa" w:w="110"/>
              <w:left w:type="dxa" w:w="100"/>
              <w:bottom w:type="dxa" w:w="110"/>
              <w:right w:type="dxa" w:w="100"/>
            </w:tcMar>
          </w:tcPr>
          <w:p>
            <w:r>
              <w:rPr>
                <w:i w:val="false"/>
                <w:iCs w:val="false"/>
                <w:color w:val="2A2D32"/>
                <w:sz w:val="16"/>
                <w:szCs w:val="16"/>
              </w:rPr>
              <w:t xml:space="preserve">Every charity legacy on this page (Cancer Research UK, Great Ormond Street Hospital Children's Charity, Marie Curie).</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https://www.legislation.gov.uk/ukpga/1984/51/section/23</w:t>
            </w:r>
          </w:p>
        </w:tc>
      </w:tr>
      <w:tr>
        <w:tc>
          <w:tcPr>
            <w:tcW w:type="dxa" w:w="1616"/>
            <w:tcMar>
              <w:top w:type="dxa" w:w="110"/>
              <w:left w:type="dxa" w:w="100"/>
              <w:bottom w:type="dxa" w:w="110"/>
              <w:right w:type="dxa" w:w="100"/>
            </w:tcMar>
          </w:tcPr>
          <w:p>
            <w:r>
              <w:rPr>
                <w:i w:val="false"/>
                <w:iCs w:val="false"/>
                <w:color w:val="2A2D32"/>
                <w:sz w:val="16"/>
                <w:szCs w:val="16"/>
              </w:rPr>
              <w:t xml:space="preserve">Inheritance Tax Act 1984, s.8D (and s.8K)</w:t>
            </w:r>
          </w:p>
        </w:tc>
        <w:tc>
          <w:tcPr>
            <w:tcW w:type="dxa" w:w="3612"/>
            <w:tcMar>
              <w:top w:type="dxa" w:w="110"/>
              <w:left w:type="dxa" w:w="100"/>
              <w:bottom w:type="dxa" w:w="110"/>
              <w:right w:type="dxa" w:w="100"/>
            </w:tcMar>
          </w:tcPr>
          <w:p>
            <w:r>
              <w:rPr>
                <w:i w:val="false"/>
                <w:iCs w:val="false"/>
                <w:color w:val="2A2D32"/>
                <w:sz w:val="16"/>
                <w:szCs w:val="16"/>
              </w:rPr>
              <w:t xml:space="preserve">The residence nil-rate band — up to £175,000, tapering above a £2 million estate — is available where a home is “closely inherited” by a lineal descendant; s.8K treats a step-child as that person's own child for this purpose, even after the natural parent has died.</w:t>
            </w:r>
          </w:p>
        </w:tc>
        <w:tc>
          <w:tcPr>
            <w:tcW w:type="dxa" w:w="2567"/>
            <w:tcMar>
              <w:top w:type="dxa" w:w="110"/>
              <w:left w:type="dxa" w:w="100"/>
              <w:bottom w:type="dxa" w:w="110"/>
              <w:right w:type="dxa" w:w="100"/>
            </w:tcMar>
          </w:tcPr>
          <w:p>
            <w:r>
              <w:rPr>
                <w:i w:val="false"/>
                <w:iCs w:val="false"/>
                <w:color w:val="2A2D32"/>
                <w:sz w:val="16"/>
                <w:szCs w:val="16"/>
              </w:rPr>
              <w:t xml:space="preserve">Susan's Clause 6 — why Daniel's share of the home qualifies, not only Claire's.</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https://www.legislation.gov.uk/ukpga/1984/51/section/8D</w:t>
            </w:r>
          </w:p>
        </w:tc>
      </w:tr>
      <w:tr>
        <w:tc>
          <w:tcPr>
            <w:tcW w:type="dxa" w:w="1616"/>
            <w:tcMar>
              <w:top w:type="dxa" w:w="110"/>
              <w:left w:type="dxa" w:w="100"/>
              <w:bottom w:type="dxa" w:w="110"/>
              <w:right w:type="dxa" w:w="100"/>
            </w:tcMar>
          </w:tcPr>
          <w:p>
            <w:r>
              <w:rPr>
                <w:i w:val="false"/>
                <w:iCs w:val="false"/>
                <w:color w:val="2A2D32"/>
                <w:sz w:val="16"/>
                <w:szCs w:val="16"/>
              </w:rPr>
              <w:t xml:space="preserve">GOV.UK, Inheritance Tax rates and residence nil-rate band</w:t>
            </w:r>
          </w:p>
        </w:tc>
        <w:tc>
          <w:tcPr>
            <w:tcW w:type="dxa" w:w="3612"/>
            <w:tcMar>
              <w:top w:type="dxa" w:w="110"/>
              <w:left w:type="dxa" w:w="100"/>
              <w:bottom w:type="dxa" w:w="110"/>
              <w:right w:type="dxa" w:w="100"/>
            </w:tcMar>
          </w:tcPr>
          <w:p>
            <w:r>
              <w:rPr>
                <w:i w:val="false"/>
                <w:iCs w:val="false"/>
                <w:color w:val="2A2D32"/>
                <w:sz w:val="16"/>
                <w:szCs w:val="16"/>
              </w:rPr>
              <w:t xml:space="preserve">The £325,000 nil-rate band and £175,000 residence nil-rate band, both frozen through 5 April 2031.</w:t>
            </w:r>
          </w:p>
        </w:tc>
        <w:tc>
          <w:tcPr>
            <w:tcW w:type="dxa" w:w="2567"/>
            <w:tcMar>
              <w:top w:type="dxa" w:w="110"/>
              <w:left w:type="dxa" w:w="100"/>
              <w:bottom w:type="dxa" w:w="110"/>
              <w:right w:type="dxa" w:w="100"/>
            </w:tcMar>
          </w:tcPr>
          <w:p>
            <w:r>
              <w:rPr>
                <w:i w:val="false"/>
                <w:iCs w:val="false"/>
                <w:color w:val="2A2D32"/>
                <w:sz w:val="16"/>
                <w:szCs w:val="16"/>
              </w:rPr>
              <w:t xml:space="preserve">Every reference to these two figures across the three households.</w:t>
            </w:r>
          </w:p>
        </w:tc>
        <w:tc>
          <w:tcPr>
            <w:tcW w:type="dxa" w:w="1711"/>
            <w:tcMar>
              <w:top w:type="dxa" w:w="110"/>
              <w:left w:type="dxa" w:w="100"/>
              <w:bottom w:type="dxa" w:w="110"/>
              <w:right w:type="dxa" w:w="100"/>
            </w:tcMar>
          </w:tcPr>
          <w:p>
            <w:r>
              <w:rPr>
                <w:i w:val="false"/>
                <w:iCs w:val="false"/>
                <w:color w:val="B0764A"/>
                <w:sz w:val="16"/>
                <w:szCs w:val="16"/>
              </w:rPr>
              <w:t xml:space="preserve">https://www.gov.uk/inheritance-tax/rates-and-allowances</w:t>
            </w:r>
          </w:p>
        </w:tc>
      </w:tr>
      <w:tr>
        <w:tc>
          <w:tcPr>
            <w:tcW w:type="dxa" w:w="1616"/>
            <w:tcMar>
              <w:top w:type="dxa" w:w="110"/>
              <w:left w:type="dxa" w:w="100"/>
              <w:bottom w:type="dxa" w:w="110"/>
              <w:right w:type="dxa" w:w="100"/>
            </w:tcMar>
          </w:tcPr>
          <w:p>
            <w:r>
              <w:rPr>
                <w:i w:val="false"/>
                <w:iCs w:val="false"/>
                <w:color w:val="2A2D32"/>
                <w:sz w:val="16"/>
                <w:szCs w:val="16"/>
              </w:rPr>
              <w:t xml:space="preserve">Children Act 1989, s.5</w:t>
            </w:r>
          </w:p>
        </w:tc>
        <w:tc>
          <w:tcPr>
            <w:tcW w:type="dxa" w:w="3612"/>
            <w:tcMar>
              <w:top w:type="dxa" w:w="110"/>
              <w:left w:type="dxa" w:w="100"/>
              <w:bottom w:type="dxa" w:w="110"/>
              <w:right w:type="dxa" w:w="100"/>
            </w:tcMar>
          </w:tcPr>
          <w:p>
            <w:r>
              <w:rPr>
                <w:i w:val="false"/>
                <w:iCs w:val="false"/>
                <w:color w:val="2A2D32"/>
                <w:sz w:val="16"/>
                <w:szCs w:val="16"/>
              </w:rPr>
              <w:t xml:space="preserve">Only a parent with parental responsibility may appoint a guardian for a child by will; a step-parent without parental responsibility cannot appoint for the other parent's children.</w:t>
            </w:r>
          </w:p>
        </w:tc>
        <w:tc>
          <w:tcPr>
            <w:tcW w:type="dxa" w:w="2567"/>
            <w:tcMar>
              <w:top w:type="dxa" w:w="110"/>
              <w:left w:type="dxa" w:w="100"/>
              <w:bottom w:type="dxa" w:w="110"/>
              <w:right w:type="dxa" w:w="100"/>
            </w:tcMar>
          </w:tcPr>
          <w:p>
            <w:r>
              <w:rPr>
                <w:i w:val="false"/>
                <w:iCs w:val="false"/>
                <w:color w:val="2A2D32"/>
                <w:sz w:val="16"/>
                <w:szCs w:val="16"/>
              </w:rPr>
              <w:t xml:space="preserve">Rachel's Clause 4; the omission notes on Naomi's and Susan's Clause 4.</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https://www.legislation.gov.uk/ukpga/1989/41/section/5</w:t>
            </w:r>
          </w:p>
        </w:tc>
      </w:tr>
      <w:tr>
        <w:tc>
          <w:tcPr>
            <w:tcW w:type="dxa" w:w="1616"/>
            <w:tcMar>
              <w:top w:type="dxa" w:w="110"/>
              <w:left w:type="dxa" w:w="100"/>
              <w:bottom w:type="dxa" w:w="110"/>
              <w:right w:type="dxa" w:w="100"/>
            </w:tcMar>
          </w:tcPr>
          <w:p>
            <w:r>
              <w:rPr>
                <w:i w:val="false"/>
                <w:iCs w:val="false"/>
                <w:color w:val="2A2D32"/>
                <w:sz w:val="16"/>
                <w:szCs w:val="16"/>
              </w:rPr>
              <w:t xml:space="preserve">Animal Welfare Act 2006, ss.3 and 9</w:t>
            </w:r>
          </w:p>
        </w:tc>
        <w:tc>
          <w:tcPr>
            <w:tcW w:type="dxa" w:w="3612"/>
            <w:tcMar>
              <w:top w:type="dxa" w:w="110"/>
              <w:left w:type="dxa" w:w="100"/>
              <w:bottom w:type="dxa" w:w="110"/>
              <w:right w:type="dxa" w:w="100"/>
            </w:tcMar>
          </w:tcPr>
          <w:p>
            <w:r>
              <w:rPr>
                <w:i w:val="false"/>
                <w:iCs w:val="false"/>
                <w:color w:val="2A2D32"/>
                <w:sz w:val="16"/>
                <w:szCs w:val="16"/>
              </w:rPr>
              <w:t xml:space="preserve">The owner of an animal is always treated as the person “responsible” for it, and owes it a statutory duty of care once ownership passes.</w:t>
            </w:r>
          </w:p>
        </w:tc>
        <w:tc>
          <w:tcPr>
            <w:tcW w:type="dxa" w:w="2567"/>
            <w:tcMar>
              <w:top w:type="dxa" w:w="110"/>
              <w:left w:type="dxa" w:w="100"/>
              <w:bottom w:type="dxa" w:w="110"/>
              <w:right w:type="dxa" w:w="100"/>
            </w:tcMar>
          </w:tcPr>
          <w:p>
            <w:r>
              <w:rPr>
                <w:i w:val="false"/>
                <w:iCs w:val="false"/>
                <w:color w:val="2A2D32"/>
                <w:sz w:val="16"/>
                <w:szCs w:val="16"/>
              </w:rPr>
              <w:t xml:space="preserve">The cat gifts in Naomi's and Susan's Clause 5.</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https://www.legislation.gov.uk/ukpga/2006/45/section/3</w:t>
            </w:r>
          </w:p>
        </w:tc>
      </w:tr>
      <w:tr>
        <w:tc>
          <w:tcPr>
            <w:tcW w:type="dxa" w:w="1616"/>
            <w:tcMar>
              <w:top w:type="dxa" w:w="110"/>
              <w:left w:type="dxa" w:w="100"/>
              <w:bottom w:type="dxa" w:w="110"/>
              <w:right w:type="dxa" w:w="100"/>
            </w:tcMar>
          </w:tcPr>
          <w:p>
            <w:r>
              <w:rPr>
                <w:i w:val="false"/>
                <w:iCs w:val="false"/>
                <w:color w:val="2A2D32"/>
                <w:sz w:val="16"/>
                <w:szCs w:val="16"/>
              </w:rPr>
              <w:t xml:space="preserve">Property (Digital Assets etc) Act 2025, s.1</w:t>
            </w:r>
          </w:p>
        </w:tc>
        <w:tc>
          <w:tcPr>
            <w:tcW w:type="dxa" w:w="3612"/>
            <w:tcMar>
              <w:top w:type="dxa" w:w="110"/>
              <w:left w:type="dxa" w:w="100"/>
              <w:bottom w:type="dxa" w:w="110"/>
              <w:right w:type="dxa" w:w="100"/>
            </w:tcMar>
          </w:tcPr>
          <w:p>
            <w:r>
              <w:rPr>
                <w:i w:val="false"/>
                <w:iCs w:val="false"/>
                <w:color w:val="2A2D32"/>
                <w:sz w:val="16"/>
                <w:szCs w:val="16"/>
              </w:rPr>
              <w:t xml:space="preserve">Confirms a digital asset such as a crypto-token can be owned as personal property — it creates no right of access for an executor.</w:t>
            </w:r>
          </w:p>
        </w:tc>
        <w:tc>
          <w:tcPr>
            <w:tcW w:type="dxa" w:w="2567"/>
            <w:tcMar>
              <w:top w:type="dxa" w:w="110"/>
              <w:left w:type="dxa" w:w="100"/>
              <w:bottom w:type="dxa" w:w="110"/>
              <w:right w:type="dxa" w:w="100"/>
            </w:tcMar>
          </w:tcPr>
          <w:p>
            <w:r>
              <w:rPr>
                <w:i w:val="false"/>
                <w:iCs w:val="false"/>
                <w:color w:val="2A2D32"/>
                <w:sz w:val="16"/>
                <w:szCs w:val="16"/>
              </w:rPr>
              <w:t xml:space="preserve">Rachel's Clause 6 note on digital accounts and passwords.</w:t>
            </w:r>
          </w:p>
        </w:tc>
        <w:tc>
          <w:tcPr>
            <w:tcW w:type="dxa" w:w="1711"/>
            <w:tcMar>
              <w:top w:type="dxa" w:w="110"/>
              <w:left w:type="dxa" w:w="100"/>
              <w:bottom w:type="dxa" w:w="110"/>
              <w:right w:type="dxa" w:w="100"/>
            </w:tcMar>
          </w:tcPr>
          <w:p>
            <w:r>
              <w:rPr>
                <w:i w:val="false"/>
                <w:iCs w:val="false"/>
                <w:color w:val="B0764A"/>
                <w:sz w:val="16"/>
                <w:szCs w:val="16"/>
              </w:rPr>
              <w:t xml:space="preserve">https://www.legislation.gov.uk/ukpga/2025/29/section/1</w:t>
            </w:r>
          </w:p>
        </w:tc>
      </w:tr>
      <w:tr>
        <w:tc>
          <w:tcPr>
            <w:tcW w:type="dxa" w:w="1616"/>
            <w:tcMar>
              <w:top w:type="dxa" w:w="110"/>
              <w:left w:type="dxa" w:w="100"/>
              <w:bottom w:type="dxa" w:w="110"/>
              <w:right w:type="dxa" w:w="100"/>
            </w:tcMar>
          </w:tcPr>
          <w:p>
            <w:r>
              <w:rPr>
                <w:i w:val="false"/>
                <w:iCs w:val="false"/>
                <w:color w:val="2A2D32"/>
                <w:sz w:val="16"/>
                <w:szCs w:val="16"/>
              </w:rPr>
              <w:t xml:space="preserve">Williams v Williams (1882) 20 Ch D 659</w:t>
            </w:r>
          </w:p>
        </w:tc>
        <w:tc>
          <w:tcPr>
            <w:tcW w:type="dxa" w:w="3612"/>
            <w:tcMar>
              <w:top w:type="dxa" w:w="110"/>
              <w:left w:type="dxa" w:w="100"/>
              <w:bottom w:type="dxa" w:w="110"/>
              <w:right w:type="dxa" w:w="100"/>
            </w:tcMar>
          </w:tcPr>
          <w:p>
            <w:r>
              <w:rPr>
                <w:i w:val="false"/>
                <w:iCs w:val="false"/>
                <w:color w:val="2A2D32"/>
                <w:sz w:val="16"/>
                <w:szCs w:val="16"/>
              </w:rPr>
              <w:t xml:space="preserve">There is no property in a corpse; an executor is not bound by the deceased's funeral directions, though in practice clear wishes known in time are followed.</w:t>
            </w:r>
          </w:p>
        </w:tc>
        <w:tc>
          <w:tcPr>
            <w:tcW w:type="dxa" w:w="2567"/>
            <w:tcMar>
              <w:top w:type="dxa" w:w="110"/>
              <w:left w:type="dxa" w:w="100"/>
              <w:bottom w:type="dxa" w:w="110"/>
              <w:right w:type="dxa" w:w="100"/>
            </w:tcMar>
          </w:tcPr>
          <w:p>
            <w:r>
              <w:rPr>
                <w:i w:val="false"/>
                <w:iCs w:val="false"/>
                <w:color w:val="2A2D32"/>
                <w:sz w:val="16"/>
                <w:szCs w:val="16"/>
              </w:rPr>
              <w:t xml:space="preserve">Susan's funeral-wishes note.</w:t>
            </w:r>
          </w:p>
        </w:tc>
        <w:tc>
          <w:tcPr>
            <w:tcW w:type="dxa" w:w="1711"/>
            <w:tcMar>
              <w:top w:type="dxa" w:w="110"/>
              <w:left w:type="dxa" w:w="100"/>
              <w:bottom w:type="dxa" w:w="110"/>
              <w:right w:type="dxa" w:w="100"/>
            </w:tcMar>
          </w:tcPr>
          <w:p>
            <w:r>
              <w:rPr>
                <w:i w:val="false"/>
                <w:iCs w:val="false"/>
                <w:color w:val="B0764A"/>
                <w:sz w:val="16"/>
                <w:szCs w:val="16"/>
              </w:rPr>
              <w:t xml:space="preserve">Law report citation — no free full-text source found online; case cited by name and neutral reference only.</w:t>
            </w:r>
          </w:p>
        </w:tc>
      </w:tr>
      <w:tr>
        <w:tc>
          <w:tcPr>
            <w:tcW w:type="dxa" w:w="1616"/>
            <w:tcMar>
              <w:top w:type="dxa" w:w="110"/>
              <w:left w:type="dxa" w:w="100"/>
              <w:bottom w:type="dxa" w:w="110"/>
              <w:right w:type="dxa" w:w="100"/>
            </w:tcMar>
          </w:tcPr>
          <w:p>
            <w:r>
              <w:rPr>
                <w:i w:val="false"/>
                <w:iCs w:val="false"/>
                <w:color w:val="2A2D32"/>
                <w:sz w:val="16"/>
                <w:szCs w:val="16"/>
              </w:rPr>
              <w:t xml:space="preserve">Banks v Goodfellow (1870) LR 5 QB 549</w:t>
            </w:r>
          </w:p>
        </w:tc>
        <w:tc>
          <w:tcPr>
            <w:tcW w:type="dxa" w:w="3612"/>
            <w:tcMar>
              <w:top w:type="dxa" w:w="110"/>
              <w:left w:type="dxa" w:w="100"/>
              <w:bottom w:type="dxa" w:w="110"/>
              <w:right w:type="dxa" w:w="100"/>
            </w:tcMar>
          </w:tcPr>
          <w:p>
            <w:r>
              <w:rPr>
                <w:i w:val="false"/>
                <w:iCs w:val="false"/>
                <w:color w:val="2A2D32"/>
                <w:sz w:val="16"/>
                <w:szCs w:val="16"/>
              </w:rPr>
              <w:t xml:space="preserve">The test of testamentary capacity: knowing a will is being made and what it does, broadly what is owned, who might expect to benefit, and no disorder of mind distorting the judgement.</w:t>
            </w:r>
          </w:p>
        </w:tc>
        <w:tc>
          <w:tcPr>
            <w:tcW w:type="dxa" w:w="2567"/>
            <w:tcMar>
              <w:top w:type="dxa" w:w="110"/>
              <w:left w:type="dxa" w:w="100"/>
              <w:bottom w:type="dxa" w:w="110"/>
              <w:right w:type="dxa" w:w="100"/>
            </w:tcMar>
          </w:tcPr>
          <w:p>
            <w:r>
              <w:rPr>
                <w:i w:val="false"/>
                <w:iCs w:val="false"/>
                <w:color w:val="2A2D32"/>
                <w:sz w:val="16"/>
                <w:szCs w:val="16"/>
              </w:rPr>
              <w:t xml:space="preserve">Clause 1 of every will on this page.</w:t>
            </w:r>
          </w:p>
        </w:tc>
        <w:tc>
          <w:tcPr>
            <w:tcW w:type="dxa" w:w="1711"/>
            <w:tcMar>
              <w:top w:type="dxa" w:w="110"/>
              <w:left w:type="dxa" w:w="100"/>
              <w:bottom w:type="dxa" w:w="110"/>
              <w:right w:type="dxa" w:w="100"/>
            </w:tcMar>
          </w:tcPr>
          <w:p>
            <w:r>
              <w:rPr>
                <w:i w:val="false"/>
                <w:iCs w:val="false"/>
                <w:color w:val="B0764A"/>
                <w:sz w:val="16"/>
                <w:szCs w:val="16"/>
              </w:rPr>
              <w:t xml:space="preserve">Law report citation — no free full-text source found online; case cited by name and neutral reference only.</w:t>
            </w:r>
          </w:p>
        </w:tc>
      </w:tr>
      <w:tr>
        <w:tc>
          <w:tcPr>
            <w:tcW w:type="dxa" w:w="1616"/>
            <w:tcMar>
              <w:top w:type="dxa" w:w="110"/>
              <w:left w:type="dxa" w:w="100"/>
              <w:bottom w:type="dxa" w:w="110"/>
              <w:right w:type="dxa" w:w="100"/>
            </w:tcMar>
          </w:tcPr>
          <w:p>
            <w:r>
              <w:rPr>
                <w:i w:val="false"/>
                <w:iCs w:val="false"/>
                <w:color w:val="2A2D32"/>
                <w:sz w:val="16"/>
                <w:szCs w:val="16"/>
              </w:rPr>
              <w:t xml:space="preserve">GOV.UK, Make a will (and the end of video witnessing)</w:t>
            </w:r>
          </w:p>
        </w:tc>
        <w:tc>
          <w:tcPr>
            <w:tcW w:type="dxa" w:w="3612"/>
            <w:tcMar>
              <w:top w:type="dxa" w:w="110"/>
              <w:left w:type="dxa" w:w="100"/>
              <w:bottom w:type="dxa" w:w="110"/>
              <w:right w:type="dxa" w:w="100"/>
            </w:tcMar>
          </w:tcPr>
          <w:p>
            <w:r>
              <w:rPr>
                <w:i w:val="false"/>
                <w:iCs w:val="false"/>
                <w:color w:val="2A2D32"/>
                <w:sz w:val="16"/>
                <w:szCs w:val="16"/>
              </w:rPr>
              <w:t xml:space="preserve">A will must be made by someone 18 or over, of sound mind, in writing, and signed in front of two witnesses who are physically present — the temporary pandemic allowance for video witnessing ended 31 January 2024.</w:t>
            </w:r>
          </w:p>
        </w:tc>
        <w:tc>
          <w:tcPr>
            <w:tcW w:type="dxa" w:w="2567"/>
            <w:tcMar>
              <w:top w:type="dxa" w:w="110"/>
              <w:left w:type="dxa" w:w="100"/>
              <w:bottom w:type="dxa" w:w="110"/>
              <w:right w:type="dxa" w:w="100"/>
            </w:tcMar>
          </w:tcPr>
          <w:p>
            <w:r>
              <w:rPr>
                <w:i w:val="false"/>
                <w:iCs w:val="false"/>
                <w:color w:val="2A2D32"/>
                <w:sz w:val="16"/>
                <w:szCs w:val="16"/>
              </w:rPr>
              <w:t xml:space="preserve">The checklist every will on this page is built to satisfy.</w:t>
            </w:r>
          </w:p>
        </w:tc>
        <w:tc>
          <w:tcPr>
            <w:tcW w:type="dxa" w:w="1711"/>
            <w:tcMar>
              <w:top w:type="dxa" w:w="110"/>
              <w:left w:type="dxa" w:w="100"/>
              <w:bottom w:type="dxa" w:w="110"/>
              <w:right w:type="dxa" w:w="100"/>
            </w:tcMar>
          </w:tcPr>
          <w:p>
            <w:r>
              <w:rPr>
                <w:i w:val="false"/>
                <w:iCs w:val="false"/>
                <w:color w:val="B0764A"/>
                <w:sz w:val="16"/>
                <w:szCs w:val="16"/>
              </w:rPr>
              <w:t xml:space="preserve">https://www.gov.uk/make-will</w:t>
            </w:r>
          </w:p>
        </w:tc>
      </w:tr>
    </w:tbl>
    <w:p>
      <w:r>
        <w:br w:type="page"/>
      </w:r>
    </w:p>
    <w:p>
      <w:pPr>
        <w:pStyle w:val="Heading1"/>
        <w:pBdr>
          <w:bottom w:val="single" w:color="B0764A" w:sz="6" w:space="8"/>
        </w:pBdr>
        <w:spacing w:after="200" w:before="200"/>
      </w:pPr>
      <w:r>
        <w:rPr>
          <w:b/>
          <w:bCs/>
          <w:color w:val="2A2D32"/>
          <w:sz w:val="32"/>
          <w:szCs w:val="32"/>
        </w:rPr>
        <w:t xml:space="preserve">VII · When to Stop and See a Solicitor</w:t>
      </w:r>
    </w:p>
    <w:p>
      <w:pPr>
        <w:spacing w:after="200"/>
      </w:pPr>
      <w:r>
        <w:rPr>
          <w:color w:val="2A2D32"/>
          <w:sz w:val="21"/>
          <w:szCs w:val="21"/>
        </w:rPr>
        <w:t xml:space="preserve">These three specimens are deliberately ordinary. Where any of the following applies to you, a home-made will — copied from this pack or anywhere else — is the wrong tool; take the facts to a solicitor instead.</w:t>
      </w:r>
    </w:p>
    <w:p>
      <w:pPr>
        <w:spacing w:after="120"/>
        <w:ind w:left="260" w:hanging="200"/>
      </w:pPr>
      <w:r>
        <w:rPr>
          <w:b/>
          <w:bCs/>
          <w:color w:val="B0764A"/>
          <w:sz w:val="19"/>
          <w:szCs w:val="19"/>
        </w:rPr>
        <w:t xml:space="preserve">•  </w:t>
      </w:r>
      <w:r>
        <w:rPr>
          <w:i w:val="false"/>
          <w:iCs w:val="false"/>
          <w:color w:val="2A2D32"/>
          <w:sz w:val="19"/>
          <w:szCs w:val="19"/>
        </w:rPr>
        <w:t xml:space="preserve">An unmarried or cohabiting partner's position — no automatic right on intestacy however long the relationship, and only a court claim under the 1975 Act without a will naming them.</w:t>
      </w:r>
    </w:p>
    <w:p>
      <w:pPr>
        <w:spacing w:after="120"/>
        <w:ind w:left="260" w:hanging="200"/>
      </w:pPr>
      <w:r>
        <w:rPr>
          <w:b/>
          <w:bCs/>
          <w:color w:val="B0764A"/>
          <w:sz w:val="19"/>
          <w:szCs w:val="19"/>
        </w:rPr>
        <w:t xml:space="preserve">•  </w:t>
      </w:r>
      <w:r>
        <w:rPr>
          <w:i w:val="false"/>
          <w:iCs w:val="false"/>
          <w:color w:val="2A2D32"/>
          <w:sz w:val="19"/>
          <w:szCs w:val="19"/>
        </w:rPr>
        <w:t xml:space="preserve">A former spouse or civil partner who has not remarried — unlike most other relatives, they stay eligible to claim under the 1975 Act even after divorce.</w:t>
      </w:r>
    </w:p>
    <w:p>
      <w:pPr>
        <w:spacing w:after="120"/>
        <w:ind w:left="260" w:hanging="200"/>
      </w:pPr>
      <w:r>
        <w:rPr>
          <w:b/>
          <w:bCs/>
          <w:color w:val="B0764A"/>
          <w:sz w:val="19"/>
          <w:szCs w:val="19"/>
        </w:rPr>
        <w:t xml:space="preserve">•  </w:t>
      </w:r>
      <w:r>
        <w:rPr>
          <w:i w:val="false"/>
          <w:iCs w:val="false"/>
          <w:color w:val="2A2D32"/>
          <w:sz w:val="19"/>
          <w:szCs w:val="19"/>
        </w:rPr>
        <w:t xml:space="preserve">A jointly-owned home or joint bank account — a beneficial joint tenant's share, and a genuinely joint account's balance, pass automatically to the survivor outside the will; severing a joint tenancy (HM Land Registry form SEV) needs both owners alive and willing.</w:t>
      </w:r>
    </w:p>
    <w:p>
      <w:pPr>
        <w:spacing w:after="120"/>
        <w:ind w:left="260" w:hanging="200"/>
      </w:pPr>
      <w:r>
        <w:rPr>
          <w:b/>
          <w:bCs/>
          <w:color w:val="B0764A"/>
          <w:sz w:val="19"/>
          <w:szCs w:val="19"/>
        </w:rPr>
        <w:t xml:space="preserve">•  </w:t>
      </w:r>
      <w:r>
        <w:rPr>
          <w:i w:val="false"/>
          <w:iCs w:val="false"/>
          <w:color w:val="2A2D32"/>
          <w:sz w:val="19"/>
          <w:szCs w:val="19"/>
        </w:rPr>
        <w:t xml:space="preserve">A business, self-employment, or agricultural property — these need their own planning, commonly Business or Agricultural Relief advice alongside the will.</w:t>
      </w:r>
    </w:p>
    <w:p>
      <w:pPr>
        <w:spacing w:after="120"/>
        <w:ind w:left="260" w:hanging="200"/>
      </w:pPr>
      <w:r>
        <w:rPr>
          <w:b/>
          <w:bCs/>
          <w:color w:val="B0764A"/>
          <w:sz w:val="19"/>
          <w:szCs w:val="19"/>
        </w:rPr>
        <w:t xml:space="preserve">•  </w:t>
      </w:r>
      <w:r>
        <w:rPr>
          <w:i w:val="false"/>
          <w:iCs w:val="false"/>
          <w:color w:val="2A2D32"/>
          <w:sz w:val="19"/>
          <w:szCs w:val="19"/>
        </w:rPr>
        <w:t xml:space="preserve">Property, or a beneficiary, abroad — a UK will may not be recognised, or may not be the right instrument, for foreign assets.</w:t>
      </w:r>
    </w:p>
    <w:p>
      <w:pPr>
        <w:spacing w:after="120"/>
        <w:ind w:left="260" w:hanging="200"/>
      </w:pPr>
      <w:r>
        <w:rPr>
          <w:b/>
          <w:bCs/>
          <w:color w:val="B0764A"/>
          <w:sz w:val="19"/>
          <w:szCs w:val="19"/>
        </w:rPr>
        <w:t xml:space="preserve">•  </w:t>
      </w:r>
      <w:r>
        <w:rPr>
          <w:i w:val="false"/>
          <w:iCs w:val="false"/>
          <w:color w:val="2A2D32"/>
          <w:sz w:val="19"/>
          <w:szCs w:val="19"/>
        </w:rPr>
        <w:t xml:space="preserve">A co-executor or co-trustee who dies, loses capacity or moves abroad once the administration is already under way — the clauses on this page cover who steps in at the outset, not a vacancy arising later; who continues, and whether a further appointment is needed, depends on the facts at the time and needs advice</w:t>
      </w:r>
    </w:p>
    <w:p>
      <w:pPr>
        <w:spacing w:after="120"/>
        <w:ind w:left="260" w:hanging="200"/>
      </w:pPr>
      <w:r>
        <w:rPr>
          <w:b/>
          <w:bCs/>
          <w:color w:val="B0764A"/>
          <w:sz w:val="19"/>
          <w:szCs w:val="19"/>
        </w:rPr>
        <w:t xml:space="preserve">•  </w:t>
      </w:r>
      <w:r>
        <w:rPr>
          <w:i w:val="false"/>
          <w:iCs w:val="false"/>
          <w:color w:val="2A2D32"/>
          <w:sz w:val="19"/>
          <w:szCs w:val="19"/>
        </w:rPr>
        <w:t xml:space="preserve">A mutual-wills agreement, as opposed to matched mirror wills — mirror wills may each be changed at any time; a mutual-wills agreement is a separate, binding arrangement and needs its own drafting.</w:t>
      </w:r>
    </w:p>
    <w:p>
      <w:pPr>
        <w:spacing w:after="120"/>
        <w:ind w:left="260" w:hanging="200"/>
      </w:pPr>
      <w:r>
        <w:rPr>
          <w:b/>
          <w:bCs/>
          <w:color w:val="B0764A"/>
          <w:sz w:val="19"/>
          <w:szCs w:val="19"/>
        </w:rPr>
        <w:t xml:space="preserve">•  </w:t>
      </w:r>
      <w:r>
        <w:rPr>
          <w:i w:val="false"/>
          <w:iCs w:val="false"/>
          <w:color w:val="2A2D32"/>
          <w:sz w:val="19"/>
          <w:szCs w:val="19"/>
        </w:rPr>
        <w:t xml:space="preserve">A vulnerable or disabled beneficiary, or any age or condition other than an outright gift at 18 — that is a trust, and needs a solicitor to draft.</w:t>
      </w:r>
    </w:p>
    <w:p>
      <w:pPr>
        <w:spacing w:after="120"/>
        <w:ind w:left="260" w:hanging="200"/>
      </w:pPr>
      <w:r>
        <w:rPr>
          <w:b/>
          <w:bCs/>
          <w:color w:val="B0764A"/>
          <w:sz w:val="19"/>
          <w:szCs w:val="19"/>
        </w:rPr>
        <w:t xml:space="preserve">•  </w:t>
      </w:r>
      <w:r>
        <w:rPr>
          <w:i w:val="false"/>
          <w:iCs w:val="false"/>
          <w:color w:val="2A2D32"/>
          <w:sz w:val="19"/>
          <w:szCs w:val="19"/>
        </w:rPr>
        <w:t xml:space="preserve">Separation without divorce, or an engagement before marriage — separation changes nothing in law; marrying revokes an existing will unless it was made in expectation of that marriage.</w:t>
      </w:r>
    </w:p>
    <w:p>
      <w:pPr>
        <w:spacing w:after="120"/>
        <w:ind w:left="260" w:hanging="200"/>
      </w:pPr>
      <w:r>
        <w:rPr>
          <w:b/>
          <w:bCs/>
          <w:color w:val="B0764A"/>
          <w:sz w:val="19"/>
          <w:szCs w:val="19"/>
        </w:rPr>
        <w:t xml:space="preserve">•  </w:t>
      </w:r>
      <w:r>
        <w:rPr>
          <w:i w:val="false"/>
          <w:iCs w:val="false"/>
          <w:color w:val="2A2D32"/>
          <w:sz w:val="19"/>
          <w:szCs w:val="19"/>
        </w:rPr>
        <w:t xml:space="preserve">Excluding a spouse or civil partner — a different and wider legal standard applies than for excluding a child (1975 Act s.1(2)(a) against s.1(2)(b)); the wording on this page is tested for a child and is not a safe template for a spouse.</w:t>
      </w:r>
    </w:p>
    <w:p>
      <w:pPr>
        <w:spacing w:after="120"/>
        <w:ind w:left="260" w:hanging="200"/>
      </w:pPr>
      <w:r>
        <w:rPr>
          <w:b/>
          <w:bCs/>
          <w:color w:val="B0764A"/>
          <w:sz w:val="19"/>
          <w:szCs w:val="19"/>
        </w:rPr>
        <w:t xml:space="preserve">•  </w:t>
      </w:r>
      <w:r>
        <w:rPr>
          <w:i w:val="false"/>
          <w:iCs w:val="false"/>
          <w:color w:val="2A2D32"/>
          <w:sz w:val="19"/>
          <w:szCs w:val="19"/>
        </w:rPr>
        <w:t xml:space="preserve">A second marriage or new partner, balancing their position against children from an earlier relationship — the commonest source of a 1975 Act claim, and a solicitor's document.</w:t>
      </w:r>
    </w:p>
    <w:p>
      <w:pPr>
        <w:spacing w:after="120"/>
        <w:ind w:left="260" w:hanging="200"/>
      </w:pPr>
      <w:r>
        <w:rPr>
          <w:b/>
          <w:bCs/>
          <w:color w:val="B0764A"/>
          <w:sz w:val="19"/>
          <w:szCs w:val="19"/>
        </w:rPr>
        <w:t xml:space="preserve">•  </w:t>
      </w:r>
      <w:r>
        <w:rPr>
          <w:i w:val="false"/>
          <w:iCs w:val="false"/>
          <w:color w:val="2A2D32"/>
          <w:sz w:val="19"/>
          <w:szCs w:val="19"/>
        </w:rPr>
        <w:t xml:space="preserve">A life interest — one person living in a home for life, with the capital passing to others afterwards.</w:t>
      </w:r>
    </w:p>
    <w:p>
      <w:pPr>
        <w:spacing w:after="120"/>
        <w:ind w:left="260" w:hanging="200"/>
      </w:pPr>
      <w:r>
        <w:rPr>
          <w:b/>
          <w:bCs/>
          <w:color w:val="B0764A"/>
          <w:sz w:val="19"/>
          <w:szCs w:val="19"/>
        </w:rPr>
        <w:t xml:space="preserve">•  </w:t>
      </w:r>
      <w:r>
        <w:rPr>
          <w:i w:val="false"/>
          <w:iCs w:val="false"/>
          <w:color w:val="2A2D32"/>
          <w:sz w:val="19"/>
          <w:szCs w:val="19"/>
        </w:rPr>
        <w:t xml:space="preserve">A real prospect that an excluded beneficiary will contest the will — a stated exclusion and a letter of wishes reduce the easiest challenge to bring, but do not stop a claim or guarantee it fails.</w:t>
      </w:r>
    </w:p>
    <w:p>
      <w:pPr>
        <w:spacing w:after="120"/>
        <w:ind w:left="260" w:hanging="200"/>
      </w:pPr>
      <w:r>
        <w:rPr>
          <w:b/>
          <w:bCs/>
          <w:color w:val="B0764A"/>
          <w:sz w:val="19"/>
          <w:szCs w:val="19"/>
        </w:rPr>
        <w:t xml:space="preserve">•  </w:t>
      </w:r>
      <w:r>
        <w:rPr>
          <w:i w:val="false"/>
          <w:iCs w:val="false"/>
          <w:color w:val="2A2D32"/>
          <w:sz w:val="19"/>
          <w:szCs w:val="19"/>
        </w:rPr>
        <w:t xml:space="preserve">An estate near or above the Inheritance Tax nil-rate bands that needs active planning — lifetime gifts, trusts, or a deliberate charitable percentage — rather than the will alone.</w:t>
      </w:r>
    </w:p>
    <w:p>
      <w:pPr>
        <w:spacing w:before="240"/>
      </w:pPr>
    </w:p>
    <w:tbl>
      <w:tblPr>
        <w:tblW w:type="dxa" w:w="9506"/>
        <w:tblBorders>
          <w:top w:val="single" w:color="C14F3A" w:sz="4"/>
          <w:left w:val="single" w:color="C14F3A" w:sz="4"/>
          <w:bottom w:val="single" w:color="C14F3A" w:sz="4"/>
          <w:right w:val="single" w:color="C14F3A" w:sz="4"/>
          <w:insideH w:val="none"/>
          <w:insideV w:val="none"/>
        </w:tblBorders>
      </w:tblPr>
      <w:tblGrid>
        <w:gridCol w:w="9506"/>
      </w:tblGrid>
      <w:tr>
        <w:tc>
          <w:tcPr>
            <w:shd w:fill="FDF3F1" w:val="clear"/>
            <w:tcMar>
              <w:top w:type="dxa" w:w="200"/>
              <w:left w:type="dxa" w:w="200"/>
              <w:bottom w:type="dxa" w:w="200"/>
              <w:right w:type="dxa" w:w="200"/>
            </w:tcMar>
          </w:tcPr>
          <w:p>
            <w:pPr>
              <w:spacing w:after="100"/>
            </w:pPr>
            <w:r>
              <w:rPr>
                <w:b/>
                <w:bCs/>
                <w:color w:val="C14F3A"/>
                <w:sz w:val="20"/>
                <w:szCs w:val="20"/>
              </w:rPr>
              <w:t xml:space="preserve">This is guidance, not legal advice</w:t>
            </w:r>
          </w:p>
          <w:p>
            <w:r>
              <w:rPr>
                <w:i w:val="false"/>
                <w:iCs w:val="false"/>
                <w:color w:val="2A2D32"/>
                <w:sz w:val="20"/>
                <w:szCs w:val="20"/>
              </w:rPr>
              <w:t xml:space="preserve">This pack is general guidance for England and Wales, not legal advice, and does not replace a solicitor. Every clause and note above is reproduced from canon/VALOREN_WILL_EXAMPLES_SPEC_2026-09-17.md — where anything elsewhere disagrees, that document wins.</w:t>
            </w:r>
          </w:p>
        </w:tc>
      </w:tr>
    </w:tbl>
    <w:p>
      <w:pPr>
        <w:spacing w:after="100" w:before="220"/>
      </w:pPr>
      <w:r>
        <w:rPr>
          <w:color w:val="6A6E73"/>
          <w:sz w:val="21"/>
          <w:szCs w:val="21"/>
        </w:rPr>
        <w:t xml:space="preserve">Data current as of 17 September 2026. Source instrument: canon/VALOREN_WILL_EXAMPLES_SPEC_2026-09-17.md (v2).</w:t>
      </w:r>
    </w:p>
    <w:p>
      <w:pPr>
        <w:spacing w:after="160"/>
      </w:pPr>
      <w:r>
        <w:rPr>
          <w:color w:val="999999"/>
          <w:sz w:val="15"/>
          <w:szCs w:val="15"/>
        </w:rPr>
        <w:t xml:space="preserve">Standard Index Group — in formation · England &amp; Wales · Will Examples · valoren.uk</w:t>
      </w:r>
    </w:p>
    <w:sectPr>
      <w:headerReference w:type="default" r:id="rId7"/>
      <w:footerReference w:type="default" r:id="rId8"/>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4"/>
        <w:szCs w:val="14"/>
      </w:rPr>
      <w:t xml:space="preserve">Will Examples — Edition 2026 — Page </w:t>
    </w:r>
    <w:r>
      <w:rPr>
        <w:color w:val="999999"/>
        <w:sz w:val="14"/>
        <w:szCs w:val="14"/>
      </w:rPr>
      <w:fldChar w:fldCharType="begin"/>
      <w:instrText xml:space="preserve">PAGE</w:instrText>
      <w:fldChar w:fldCharType="separate"/>
      <w:fldChar w:fldCharType="end"/>
    </w:r>
    <w:r>
      <w:rPr>
        <w:color w:val="999999"/>
        <w:sz w:val="14"/>
        <w:szCs w:val="14"/>
      </w:rPr>
      <w:t xml:space="preserve"> of </w:t>
    </w:r>
    <w:r>
      <w:rPr>
        <w:color w:val="99999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99999"/>
        <w:sz w:val="14"/>
        <w:szCs w:val="14"/>
      </w:rPr>
      <w:t xml:space="preserve">Valoren · Free institutional reference · valoren.uk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A2D3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2026-09-17T19:06:36.687Z</dcterms:created>
  <dcterms:modified xsi:type="dcterms:W3CDTF">2026-09-17T19:06:36.687Z</dcterms:modified>
</cp:coreProperties>
</file>

<file path=docProps/custom.xml><?xml version="1.0" encoding="utf-8"?>
<Properties xmlns="http://schemas.openxmlformats.org/officeDocument/2006/custom-properties" xmlns:vt="http://schemas.openxmlformats.org/officeDocument/2006/docPropsVTypes"/>
</file>